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2" w:type="dxa"/>
        <w:jc w:val="center"/>
        <w:tblInd w:w="-214" w:type="dxa"/>
        <w:tblLook w:val="01E0" w:firstRow="1" w:lastRow="1" w:firstColumn="1" w:lastColumn="1" w:noHBand="0" w:noVBand="0"/>
      </w:tblPr>
      <w:tblGrid>
        <w:gridCol w:w="4262"/>
        <w:gridCol w:w="5290"/>
      </w:tblGrid>
      <w:tr w:rsidR="00256235" w:rsidRPr="00FD5EB5" w:rsidTr="00C7653E">
        <w:trPr>
          <w:jc w:val="center"/>
        </w:trPr>
        <w:tc>
          <w:tcPr>
            <w:tcW w:w="4262" w:type="dxa"/>
          </w:tcPr>
          <w:p w:rsidR="00256235" w:rsidRPr="00FD5EB5" w:rsidRDefault="00256235" w:rsidP="00C7653E">
            <w:pPr>
              <w:jc w:val="center"/>
              <w:rPr>
                <w:b/>
                <w:sz w:val="26"/>
                <w:szCs w:val="26"/>
              </w:rPr>
            </w:pPr>
            <w:r w:rsidRPr="00FD5EB5">
              <w:rPr>
                <w:sz w:val="26"/>
                <w:szCs w:val="26"/>
              </w:rPr>
              <w:t>UBND TỈNH QUẢNG TRỊ</w:t>
            </w:r>
          </w:p>
        </w:tc>
        <w:tc>
          <w:tcPr>
            <w:tcW w:w="5290" w:type="dxa"/>
          </w:tcPr>
          <w:p w:rsidR="00256235" w:rsidRPr="00FD5EB5" w:rsidRDefault="00256235" w:rsidP="00C7653E">
            <w:pPr>
              <w:rPr>
                <w:b/>
                <w:sz w:val="24"/>
                <w:szCs w:val="24"/>
              </w:rPr>
            </w:pPr>
          </w:p>
        </w:tc>
      </w:tr>
      <w:tr w:rsidR="00256235" w:rsidRPr="00FD5EB5" w:rsidTr="00C7653E">
        <w:trPr>
          <w:trHeight w:val="400"/>
          <w:jc w:val="center"/>
        </w:trPr>
        <w:tc>
          <w:tcPr>
            <w:tcW w:w="4262" w:type="dxa"/>
          </w:tcPr>
          <w:p w:rsidR="00256235" w:rsidRPr="00FD5EB5" w:rsidRDefault="00256235" w:rsidP="00C7653E">
            <w:pPr>
              <w:spacing w:before="60"/>
              <w:ind w:right="-113"/>
              <w:rPr>
                <w:b/>
                <w:spacing w:val="-26"/>
                <w:sz w:val="24"/>
                <w:szCs w:val="24"/>
              </w:rPr>
            </w:pPr>
            <w:r>
              <w:rPr>
                <w:rFonts w:ascii="Calibri" w:hAnsi="Calibri"/>
                <w:b/>
                <w:noProof/>
                <w:sz w:val="24"/>
                <w:szCs w:val="24"/>
              </w:rPr>
              <mc:AlternateContent>
                <mc:Choice Requires="wps">
                  <w:drawing>
                    <wp:anchor distT="0" distB="0" distL="114300" distR="114300" simplePos="0" relativeHeight="251658240" behindDoc="0" locked="0" layoutInCell="1" allowOverlap="1" wp14:anchorId="7E7BED03" wp14:editId="73408938">
                      <wp:simplePos x="0" y="0"/>
                      <wp:positionH relativeFrom="column">
                        <wp:posOffset>335915</wp:posOffset>
                      </wp:positionH>
                      <wp:positionV relativeFrom="paragraph">
                        <wp:posOffset>228600</wp:posOffset>
                      </wp:positionV>
                      <wp:extent cx="1797050" cy="0"/>
                      <wp:effectExtent l="6985" t="5080" r="571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45pt;margin-top:18pt;width:1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Y4JQIAAEoEAAAOAAAAZHJzL2Uyb0RvYy54bWysVE1v2zAMvQ/YfxB0T2xn+TTqFIWd7NKt&#10;Bdr9AEWSY2G2KEhKnGDYfx+lOEG7XYZhPsiUKT4+kk++uz91LTlK6xTogmbjlBKpOQil9wX99rod&#10;LSlxnmnBWtCyoGfp6P3644e73uRyAg20QlqCINrlvSlo473Jk8TxRnbMjcFIjc4abMc8bu0+EZb1&#10;iN61ySRN50kPVhgLXDqHX6uLk64jfl1L7p/q2klP2oIiNx9XG9ddWJP1Hcv3lplG8YEG+wcWHVMa&#10;k96gKuYZOVj1B1SnuAUHtR9z6BKoa8VlrAGrydLfqnlpmJGxFmyOM7c2uf8Hy78eny1RoqATSjTr&#10;cEQv3jK1bzx5sBZ6UoLW2EawZBK61RuXY1Cpn22ol5/0i3kE/t0RDWXD9F5G1q9ng1BZiEjehYSN&#10;M5hz138BgWfYwUNs3am2XYDEppBTnND5NiF58oTjx2yxWqQzHCS/+hKWXwONdf6zhI4Eo6BuqONW&#10;QBbTsOOj84EWy68BIauGrWrbKIdWk76gq9lkFgMctEoEZzjm7H5XtpYcWRBUfGKN6Hl7zMJBiwjW&#10;SCY2g+2Zai82Jm91wMPCkM5gXRTzY5WuNsvNcjqaTuab0TStqtHDtpyO5ttsMas+VWVZZT8DtWya&#10;N0oIqQO7q3qz6d+pY7hHF93d9HtrQ/IePfYLyV7fkXScbBjmRRY7EOdne504CjYeHi5XuBFv92i/&#10;/QWsfwEAAP//AwBQSwMEFAAGAAgAAAAhAG3oQZ7cAAAACAEAAA8AAABkcnMvZG93bnJldi54bWxM&#10;j8FuwjAQRO+V+AdrkXqpikOioBLiIITEoccCUq8mXpK08TqKHZLy9d2qh/a4M6PZN/l2sq24Ye8b&#10;RwqWiwgEUulMQ5WC8+nw/ALCB01Gt45QwRd62Bazh1xnxo30hrdjqASXkM+0gjqELpPSlzVa7Reu&#10;Q2Lv6nqrA599JU2vRy63rYyjaCWtbog/1LrDfY3l53GwCtAP6TLarW11fr2PT+/x/WPsTko9zqfd&#10;BkTAKfyF4Qef0aFgposbyHjRKkjjNScVJCuexH6SpCxcfgVZ5PL/gOIbAAD//wMAUEsBAi0AFAAG&#10;AAgAAAAhALaDOJL+AAAA4QEAABMAAAAAAAAAAAAAAAAAAAAAAFtDb250ZW50X1R5cGVzXS54bWxQ&#10;SwECLQAUAAYACAAAACEAOP0h/9YAAACUAQAACwAAAAAAAAAAAAAAAAAvAQAAX3JlbHMvLnJlbHNQ&#10;SwECLQAUAAYACAAAACEAbDKGOCUCAABKBAAADgAAAAAAAAAAAAAAAAAuAgAAZHJzL2Uyb0RvYy54&#10;bWxQSwECLQAUAAYACAAAACEAbehBntwAAAAIAQAADwAAAAAAAAAAAAAAAAB/BAAAZHJzL2Rvd25y&#10;ZXYueG1sUEsFBgAAAAAEAAQA8wAAAIgFAAAAAA==&#10;"/>
                  </w:pict>
                </mc:Fallback>
              </mc:AlternateContent>
            </w:r>
            <w:r w:rsidRPr="00F45C21">
              <w:rPr>
                <w:b/>
                <w:sz w:val="24"/>
                <w:szCs w:val="24"/>
              </w:rPr>
              <w:t>SỞ TÀI NGUYÊN VÀ MÔI TRƯỜNG</w:t>
            </w:r>
          </w:p>
        </w:tc>
        <w:tc>
          <w:tcPr>
            <w:tcW w:w="5290" w:type="dxa"/>
          </w:tcPr>
          <w:p w:rsidR="00256235" w:rsidRPr="00FD5EB5" w:rsidRDefault="00256235" w:rsidP="00C7653E">
            <w:pPr>
              <w:spacing w:before="60"/>
              <w:jc w:val="center"/>
              <w:rPr>
                <w:b/>
                <w:sz w:val="26"/>
                <w:szCs w:val="26"/>
              </w:rPr>
            </w:pPr>
          </w:p>
        </w:tc>
      </w:tr>
    </w:tbl>
    <w:p w:rsidR="00256235" w:rsidRDefault="00256235"/>
    <w:p w:rsidR="006600B9" w:rsidRDefault="000D6E54" w:rsidP="000D6E54">
      <w:pPr>
        <w:tabs>
          <w:tab w:val="center" w:pos="6480"/>
        </w:tabs>
        <w:rPr>
          <w:b/>
        </w:rPr>
      </w:pPr>
      <w:r>
        <w:rPr>
          <w:b/>
        </w:rPr>
        <w:tab/>
      </w:r>
    </w:p>
    <w:p w:rsidR="00256235" w:rsidRPr="00256235" w:rsidRDefault="00256235" w:rsidP="006600B9">
      <w:pPr>
        <w:tabs>
          <w:tab w:val="center" w:pos="6480"/>
        </w:tabs>
        <w:jc w:val="center"/>
        <w:rPr>
          <w:b/>
        </w:rPr>
      </w:pPr>
      <w:r w:rsidRPr="00256235">
        <w:rPr>
          <w:b/>
        </w:rPr>
        <w:t>Phụ lục</w:t>
      </w:r>
    </w:p>
    <w:p w:rsidR="00256235" w:rsidRPr="00256235" w:rsidRDefault="00256235" w:rsidP="00256235">
      <w:pPr>
        <w:jc w:val="center"/>
        <w:rPr>
          <w:b/>
        </w:rPr>
      </w:pPr>
      <w:r w:rsidRPr="00256235">
        <w:rPr>
          <w:b/>
        </w:rPr>
        <w:t>BÁO CÁO KẾT QUẢ GIẢI QUYẾT Ý KIẾN, KIẾN NGHỊ CỬ TRI</w:t>
      </w:r>
    </w:p>
    <w:p w:rsidR="00256235" w:rsidRDefault="00605FE0" w:rsidP="00256235">
      <w:pPr>
        <w:jc w:val="center"/>
        <w:rPr>
          <w:b/>
        </w:rPr>
      </w:pPr>
      <w:r>
        <w:rPr>
          <w:b/>
        </w:rPr>
        <w:t xml:space="preserve">GỬI ĐẾN </w:t>
      </w:r>
      <w:r w:rsidR="00256235" w:rsidRPr="00256235">
        <w:rPr>
          <w:b/>
        </w:rPr>
        <w:t xml:space="preserve">KỲ HỌP THỨ </w:t>
      </w:r>
      <w:r>
        <w:rPr>
          <w:b/>
        </w:rPr>
        <w:t>10</w:t>
      </w:r>
      <w:r w:rsidR="00256235" w:rsidRPr="00256235">
        <w:rPr>
          <w:b/>
        </w:rPr>
        <w:t xml:space="preserve">, </w:t>
      </w:r>
      <w:r>
        <w:rPr>
          <w:b/>
        </w:rPr>
        <w:t xml:space="preserve">HĐND TỈNH KHÓA </w:t>
      </w:r>
      <w:r w:rsidR="00256235" w:rsidRPr="00256235">
        <w:rPr>
          <w:b/>
        </w:rPr>
        <w:t>V</w:t>
      </w:r>
      <w:r>
        <w:rPr>
          <w:b/>
        </w:rPr>
        <w:t>III, NHIỆM KỲ 2021-2026</w:t>
      </w:r>
    </w:p>
    <w:p w:rsidR="00256235" w:rsidRDefault="00256235" w:rsidP="00256235">
      <w:pPr>
        <w:jc w:val="center"/>
      </w:pPr>
      <w:r>
        <w:rPr>
          <w:b/>
        </w:rPr>
        <w:t>(</w:t>
      </w:r>
      <w:r w:rsidRPr="00256235">
        <w:rPr>
          <w:i/>
          <w:sz w:val="24"/>
          <w:szCs w:val="24"/>
        </w:rPr>
        <w:t>Kèm theo Công văn số</w:t>
      </w:r>
      <w:r w:rsidR="00605FE0">
        <w:rPr>
          <w:i/>
          <w:sz w:val="24"/>
          <w:szCs w:val="24"/>
        </w:rPr>
        <w:t xml:space="preserve"> </w:t>
      </w:r>
      <w:r w:rsidR="00A732A9">
        <w:rPr>
          <w:i/>
          <w:sz w:val="24"/>
          <w:szCs w:val="24"/>
        </w:rPr>
        <w:t xml:space="preserve">       </w:t>
      </w:r>
      <w:r w:rsidR="00A77983">
        <w:rPr>
          <w:i/>
          <w:sz w:val="24"/>
          <w:szCs w:val="24"/>
        </w:rPr>
        <w:t xml:space="preserve">/STNMT-TTr ngày </w:t>
      </w:r>
      <w:r w:rsidR="00A732A9">
        <w:rPr>
          <w:i/>
          <w:sz w:val="24"/>
          <w:szCs w:val="24"/>
        </w:rPr>
        <w:t xml:space="preserve">   /5/2023</w:t>
      </w:r>
      <w:r w:rsidRPr="00256235">
        <w:rPr>
          <w:i/>
          <w:sz w:val="24"/>
          <w:szCs w:val="24"/>
        </w:rPr>
        <w:t xml:space="preserve"> của Sở Tài nguyên và Môi trường</w:t>
      </w:r>
      <w:r w:rsidRPr="00256235">
        <w:t>)</w:t>
      </w:r>
    </w:p>
    <w:p w:rsidR="00256235" w:rsidRDefault="00605FE0" w:rsidP="006600B9">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3228340</wp:posOffset>
                </wp:positionH>
                <wp:positionV relativeFrom="paragraph">
                  <wp:posOffset>43815</wp:posOffset>
                </wp:positionV>
                <wp:extent cx="18954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2pt,3.45pt" to="403.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wtgEAALcDAAAOAAAAZHJzL2Uyb0RvYy54bWysU8GO0zAQvSPxD5bvNOkuC0vUdA9dwQVB&#10;xcIHeJ1xY2F7rLFp079n7LZZBAghxMXx2O+9mTeerO4m78QeKFkMvVwuWikgaBxs2PXyy+e3L26l&#10;SFmFQTkM0MsjJHm3fv5sdYgdXOGIbgASLBJSd4i9HHOOXdMkPYJXaYERAl8aJK8yh7RrBlIHVveu&#10;uWrbV80BaYiEGlLi0/vTpVxXfWNA54/GJMjC9ZJry3Wluj6WtVmvVLcjFUerz2Wof6jCKxs46Sx1&#10;r7IS38j+IuWtJkxo8kKjb9AYq6F6YDfL9ic3D6OKUL1wc1Kc25T+n6z+sN+SsEMvr6UIyvMTPWRS&#10;djdmscEQuIFI4rr06RBTx/BN2NI5SnFLxfRkyJcv2xFT7e1x7i1MWWg+XN6+uXn5+kYKfblrnoiR&#10;Un4H6EXZ9NLZUGyrTu3fp8zJGHqBcFAKOaWuu3x0UMAufALDVkqyyq5DBBtHYq/4+Yevy2KDtSqy&#10;UIx1bia1fyadsYUGdbD+ljija0YMeSZ6G5B+lzVPl1LNCX9xffJabD/icKwPUdvB01GdnSe5jN+P&#10;caU//W/r7wAAAP//AwBQSwMEFAAGAAgAAAAhAGhb5LXbAAAABwEAAA8AAABkcnMvZG93bnJldi54&#10;bWxMjs1OwzAQhO9IvIO1SNzoGgRtGuJUiJ8THELg0KMbL0nUeB3FbhJ4etxe4DajGc182Wa2nRhp&#10;8K1jBdcLCYK4cqblWsHnx8tVAsIHzUZ3jknBN3nY5OdnmU6Nm/idxjLUIo6wT7WCJoQ+RfRVQ1b7&#10;heuJY/blBqtDtEONZtBTHLcd3ki5RKtbjg+N7umxoWpfHqyC1fNrWfTT09tPgSssitGFZL9V6vJi&#10;frgHEWgOf2U44kd0yCPTzh3YeNEpuJPJbawqWK5BxDyRR7E7ecwz/M+f/wIAAP//AwBQSwECLQAU&#10;AAYACAAAACEAtoM4kv4AAADhAQAAEwAAAAAAAAAAAAAAAAAAAAAAW0NvbnRlbnRfVHlwZXNdLnht&#10;bFBLAQItABQABgAIAAAAIQA4/SH/1gAAAJQBAAALAAAAAAAAAAAAAAAAAC8BAABfcmVscy8ucmVs&#10;c1BLAQItABQABgAIAAAAIQASmn+wtgEAALcDAAAOAAAAAAAAAAAAAAAAAC4CAABkcnMvZTJvRG9j&#10;LnhtbFBLAQItABQABgAIAAAAIQBoW+S12wAAAAcBAAAPAAAAAAAAAAAAAAAAABAEAABkcnMvZG93&#10;bnJldi54bWxQSwUGAAAAAAQABADzAAAAGAUAAAAA&#10;" strokecolor="black [3040]"/>
            </w:pict>
          </mc:Fallback>
        </mc:AlternateContent>
      </w:r>
    </w:p>
    <w:p w:rsidR="006600B9" w:rsidRDefault="006600B9" w:rsidP="006600B9">
      <w:pPr>
        <w:jc w:val="center"/>
      </w:pPr>
    </w:p>
    <w:tbl>
      <w:tblPr>
        <w:tblStyle w:val="TableGrid"/>
        <w:tblW w:w="14400" w:type="dxa"/>
        <w:tblInd w:w="-432" w:type="dxa"/>
        <w:tblLayout w:type="fixed"/>
        <w:tblLook w:val="04A0" w:firstRow="1" w:lastRow="0" w:firstColumn="1" w:lastColumn="0" w:noHBand="0" w:noVBand="1"/>
      </w:tblPr>
      <w:tblGrid>
        <w:gridCol w:w="630"/>
        <w:gridCol w:w="3029"/>
        <w:gridCol w:w="7513"/>
        <w:gridCol w:w="2598"/>
        <w:gridCol w:w="630"/>
      </w:tblGrid>
      <w:tr w:rsidR="00564E73" w:rsidRPr="00683835" w:rsidTr="00535C21">
        <w:tc>
          <w:tcPr>
            <w:tcW w:w="630" w:type="dxa"/>
            <w:vAlign w:val="center"/>
          </w:tcPr>
          <w:p w:rsidR="00256235" w:rsidRPr="00683835" w:rsidRDefault="00256235" w:rsidP="00256235">
            <w:pPr>
              <w:tabs>
                <w:tab w:val="left" w:pos="7935"/>
              </w:tabs>
              <w:jc w:val="center"/>
              <w:rPr>
                <w:b/>
                <w:sz w:val="24"/>
              </w:rPr>
            </w:pPr>
            <w:r w:rsidRPr="00683835">
              <w:rPr>
                <w:b/>
                <w:sz w:val="24"/>
              </w:rPr>
              <w:t>Số TT</w:t>
            </w:r>
          </w:p>
        </w:tc>
        <w:tc>
          <w:tcPr>
            <w:tcW w:w="3029" w:type="dxa"/>
            <w:vAlign w:val="center"/>
          </w:tcPr>
          <w:p w:rsidR="00256235" w:rsidRPr="00683835" w:rsidRDefault="00256235" w:rsidP="00256235">
            <w:pPr>
              <w:tabs>
                <w:tab w:val="left" w:pos="7935"/>
              </w:tabs>
              <w:jc w:val="center"/>
              <w:rPr>
                <w:b/>
                <w:sz w:val="24"/>
              </w:rPr>
            </w:pPr>
            <w:r w:rsidRPr="00683835">
              <w:rPr>
                <w:b/>
                <w:sz w:val="24"/>
              </w:rPr>
              <w:t>Nội dung kiến nghị</w:t>
            </w:r>
          </w:p>
        </w:tc>
        <w:tc>
          <w:tcPr>
            <w:tcW w:w="7513" w:type="dxa"/>
            <w:vAlign w:val="center"/>
          </w:tcPr>
          <w:p w:rsidR="00605FE0" w:rsidRDefault="00256235" w:rsidP="00256235">
            <w:pPr>
              <w:tabs>
                <w:tab w:val="left" w:pos="7935"/>
              </w:tabs>
              <w:jc w:val="center"/>
              <w:rPr>
                <w:b/>
                <w:sz w:val="24"/>
              </w:rPr>
            </w:pPr>
            <w:r w:rsidRPr="00683835">
              <w:rPr>
                <w:b/>
                <w:sz w:val="24"/>
              </w:rPr>
              <w:t>Kết quả giải quyết</w:t>
            </w:r>
            <w:r w:rsidR="00605FE0">
              <w:rPr>
                <w:b/>
                <w:sz w:val="24"/>
              </w:rPr>
              <w:t>/</w:t>
            </w:r>
          </w:p>
          <w:p w:rsidR="00256235" w:rsidRPr="00683835" w:rsidRDefault="00605FE0" w:rsidP="00256235">
            <w:pPr>
              <w:tabs>
                <w:tab w:val="left" w:pos="7935"/>
              </w:tabs>
              <w:jc w:val="center"/>
              <w:rPr>
                <w:b/>
                <w:sz w:val="24"/>
              </w:rPr>
            </w:pPr>
            <w:r>
              <w:rPr>
                <w:b/>
                <w:sz w:val="24"/>
              </w:rPr>
              <w:t>Đề xuất hướng giải quyết</w:t>
            </w:r>
          </w:p>
        </w:tc>
        <w:tc>
          <w:tcPr>
            <w:tcW w:w="2598" w:type="dxa"/>
            <w:vAlign w:val="center"/>
          </w:tcPr>
          <w:p w:rsidR="00256235" w:rsidRPr="00683835" w:rsidRDefault="00256235" w:rsidP="00256235">
            <w:pPr>
              <w:tabs>
                <w:tab w:val="left" w:pos="7935"/>
              </w:tabs>
              <w:jc w:val="center"/>
              <w:rPr>
                <w:b/>
                <w:sz w:val="24"/>
              </w:rPr>
            </w:pPr>
            <w:r w:rsidRPr="00683835">
              <w:rPr>
                <w:b/>
                <w:sz w:val="24"/>
              </w:rPr>
              <w:t>Lộ trình giải quyết</w:t>
            </w:r>
            <w:r w:rsidR="00605FE0">
              <w:rPr>
                <w:b/>
                <w:sz w:val="24"/>
              </w:rPr>
              <w:t xml:space="preserve"> dứt điểm</w:t>
            </w:r>
          </w:p>
        </w:tc>
        <w:tc>
          <w:tcPr>
            <w:tcW w:w="630" w:type="dxa"/>
            <w:vAlign w:val="center"/>
          </w:tcPr>
          <w:p w:rsidR="00256235" w:rsidRPr="00683835" w:rsidRDefault="00256235" w:rsidP="00256235">
            <w:pPr>
              <w:tabs>
                <w:tab w:val="left" w:pos="7935"/>
              </w:tabs>
              <w:jc w:val="center"/>
              <w:rPr>
                <w:b/>
                <w:sz w:val="24"/>
              </w:rPr>
            </w:pPr>
            <w:r w:rsidRPr="00683835">
              <w:rPr>
                <w:b/>
                <w:sz w:val="24"/>
              </w:rPr>
              <w:t>Ghi chú</w:t>
            </w:r>
          </w:p>
        </w:tc>
      </w:tr>
      <w:tr w:rsidR="00A732A9" w:rsidRPr="00256235" w:rsidTr="00535C21">
        <w:tc>
          <w:tcPr>
            <w:tcW w:w="630" w:type="dxa"/>
            <w:vAlign w:val="center"/>
          </w:tcPr>
          <w:p w:rsidR="00A732A9" w:rsidRDefault="0022307B" w:rsidP="00256235">
            <w:pPr>
              <w:tabs>
                <w:tab w:val="left" w:pos="7935"/>
              </w:tabs>
              <w:jc w:val="center"/>
              <w:rPr>
                <w:sz w:val="24"/>
                <w:szCs w:val="24"/>
              </w:rPr>
            </w:pPr>
            <w:r>
              <w:rPr>
                <w:sz w:val="24"/>
                <w:szCs w:val="24"/>
              </w:rPr>
              <w:t>1</w:t>
            </w:r>
          </w:p>
        </w:tc>
        <w:tc>
          <w:tcPr>
            <w:tcW w:w="3029" w:type="dxa"/>
          </w:tcPr>
          <w:p w:rsidR="00A732A9" w:rsidRPr="00954AB2" w:rsidRDefault="00A732A9" w:rsidP="008F2434">
            <w:pPr>
              <w:spacing w:line="360" w:lineRule="exact"/>
              <w:ind w:firstLine="567"/>
              <w:rPr>
                <w:sz w:val="26"/>
              </w:rPr>
            </w:pPr>
            <w:r w:rsidRPr="00CC0635">
              <w:rPr>
                <w:b/>
                <w:bCs/>
                <w:position w:val="-2"/>
                <w:sz w:val="26"/>
                <w:szCs w:val="28"/>
              </w:rPr>
              <w:t>Cử tri huyện Gio Linh kiến nghị</w:t>
            </w:r>
            <w:r>
              <w:rPr>
                <w:b/>
                <w:bCs/>
                <w:position w:val="-2"/>
                <w:sz w:val="26"/>
                <w:szCs w:val="28"/>
              </w:rPr>
              <w:t xml:space="preserve"> </w:t>
            </w:r>
            <w:r w:rsidRPr="00B33F5D">
              <w:rPr>
                <w:bCs/>
                <w:position w:val="-2"/>
                <w:sz w:val="26"/>
                <w:szCs w:val="28"/>
              </w:rPr>
              <w:t>UBND tỉnh thu hồi toàn bộ đất của Công ty Hoàng Khang,</w:t>
            </w:r>
            <w:r>
              <w:rPr>
                <w:bCs/>
                <w:position w:val="-2"/>
                <w:sz w:val="26"/>
                <w:szCs w:val="28"/>
              </w:rPr>
              <w:t xml:space="preserve"> cum CN Đông Gio Linh,</w:t>
            </w:r>
            <w:r w:rsidRPr="00B33F5D">
              <w:rPr>
                <w:bCs/>
                <w:position w:val="-2"/>
                <w:sz w:val="26"/>
                <w:szCs w:val="28"/>
              </w:rPr>
              <w:t xml:space="preserve"> đất Công ty Hoàng Đức</w:t>
            </w:r>
            <w:r>
              <w:rPr>
                <w:bCs/>
                <w:position w:val="-2"/>
                <w:sz w:val="26"/>
                <w:szCs w:val="28"/>
              </w:rPr>
              <w:t xml:space="preserve"> tại thị trấn Cửa Việt</w:t>
            </w:r>
            <w:r w:rsidRPr="00B33F5D">
              <w:rPr>
                <w:bCs/>
                <w:position w:val="-2"/>
                <w:sz w:val="26"/>
                <w:szCs w:val="28"/>
              </w:rPr>
              <w:t>, đất của Công ty xăng dầu Quảng Trị tại xã Linh Trường để giao lại cho địa phương quản lý vì các dự án chậm tiến dộ, đã được gia hạn nhiều lần</w:t>
            </w:r>
          </w:p>
        </w:tc>
        <w:tc>
          <w:tcPr>
            <w:tcW w:w="7513" w:type="dxa"/>
          </w:tcPr>
          <w:p w:rsidR="00A732A9" w:rsidRDefault="00A732A9" w:rsidP="00C8323F">
            <w:pPr>
              <w:rPr>
                <w:b/>
                <w:bCs/>
                <w:i/>
                <w:position w:val="-2"/>
                <w:sz w:val="26"/>
                <w:szCs w:val="28"/>
              </w:rPr>
            </w:pPr>
            <w:r>
              <w:rPr>
                <w:b/>
                <w:i/>
                <w:color w:val="000000"/>
                <w:sz w:val="26"/>
                <w:szCs w:val="28"/>
              </w:rPr>
              <w:t xml:space="preserve">        </w:t>
            </w:r>
            <w:r w:rsidRPr="00CC0635">
              <w:rPr>
                <w:b/>
                <w:i/>
                <w:color w:val="000000"/>
                <w:sz w:val="26"/>
                <w:szCs w:val="28"/>
              </w:rPr>
              <w:t xml:space="preserve">a. </w:t>
            </w:r>
            <w:r w:rsidRPr="00CC0635">
              <w:rPr>
                <w:b/>
                <w:bCs/>
                <w:i/>
                <w:position w:val="-2"/>
                <w:sz w:val="26"/>
                <w:szCs w:val="28"/>
              </w:rPr>
              <w:t>Công ty TNHH MTV Hoàng Khang Quảng Trị</w:t>
            </w:r>
          </w:p>
          <w:p w:rsidR="00ED497B" w:rsidRDefault="008F2434" w:rsidP="00880C9C">
            <w:pPr>
              <w:rPr>
                <w:bCs/>
                <w:sz w:val="26"/>
                <w:szCs w:val="28"/>
              </w:rPr>
            </w:pPr>
            <w:r>
              <w:rPr>
                <w:bCs/>
                <w:sz w:val="26"/>
                <w:szCs w:val="28"/>
              </w:rPr>
              <w:t xml:space="preserve">       </w:t>
            </w:r>
            <w:r w:rsidR="00880C9C" w:rsidRPr="00880C9C">
              <w:rPr>
                <w:bCs/>
                <w:sz w:val="26"/>
                <w:szCs w:val="28"/>
              </w:rPr>
              <w:t xml:space="preserve">Sở Tài nguyên và Môi trường đã trình UBND tỉnh thu hồi đất của Công ty </w:t>
            </w:r>
            <w:r w:rsidRPr="00880C9C">
              <w:rPr>
                <w:bCs/>
                <w:sz w:val="26"/>
                <w:szCs w:val="28"/>
              </w:rPr>
              <w:t>TNHH MTV Hoàng Khang Quảng Trị</w:t>
            </w:r>
            <w:r>
              <w:rPr>
                <w:bCs/>
                <w:sz w:val="26"/>
                <w:szCs w:val="28"/>
              </w:rPr>
              <w:t xml:space="preserve"> </w:t>
            </w:r>
            <w:r w:rsidR="00880C9C" w:rsidRPr="00880C9C">
              <w:rPr>
                <w:bCs/>
                <w:sz w:val="26"/>
                <w:szCs w:val="28"/>
              </w:rPr>
              <w:t>tại Tờ trình số 791/TTr-STNMT ngày 16/3/2023.</w:t>
            </w:r>
            <w:r>
              <w:rPr>
                <w:bCs/>
                <w:sz w:val="26"/>
                <w:szCs w:val="28"/>
              </w:rPr>
              <w:t xml:space="preserve"> </w:t>
            </w:r>
          </w:p>
          <w:p w:rsidR="00880C9C" w:rsidRDefault="00ED497B" w:rsidP="00880C9C">
            <w:pPr>
              <w:rPr>
                <w:bCs/>
                <w:sz w:val="26"/>
                <w:szCs w:val="28"/>
              </w:rPr>
            </w:pPr>
            <w:r>
              <w:rPr>
                <w:bCs/>
                <w:sz w:val="26"/>
                <w:szCs w:val="28"/>
              </w:rPr>
              <w:t xml:space="preserve">      </w:t>
            </w:r>
            <w:r w:rsidR="00880C9C" w:rsidRPr="00880C9C">
              <w:rPr>
                <w:bCs/>
                <w:sz w:val="26"/>
                <w:szCs w:val="28"/>
              </w:rPr>
              <w:t>Ngày 17/4/2023, Sở tiếp tục có Văn bản số 1297/STNMT-QLĐĐ</w:t>
            </w:r>
            <w:r w:rsidR="008F2434">
              <w:rPr>
                <w:bCs/>
                <w:sz w:val="26"/>
                <w:szCs w:val="28"/>
              </w:rPr>
              <w:t xml:space="preserve"> </w:t>
            </w:r>
            <w:r w:rsidR="00880C9C" w:rsidRPr="00880C9C">
              <w:rPr>
                <w:bCs/>
                <w:sz w:val="26"/>
                <w:szCs w:val="28"/>
              </w:rPr>
              <w:t>trình UBND tỉnh thu hồi đất của Công ty TNHH MTV Hoàng Khang Quảng Trị</w:t>
            </w:r>
            <w:r w:rsidR="008F2434">
              <w:rPr>
                <w:bCs/>
                <w:sz w:val="26"/>
                <w:szCs w:val="28"/>
              </w:rPr>
              <w:t>.</w:t>
            </w:r>
          </w:p>
          <w:p w:rsidR="00A732A9" w:rsidRPr="00095F78" w:rsidRDefault="00A732A9" w:rsidP="008F2434">
            <w:pPr>
              <w:rPr>
                <w:sz w:val="26"/>
                <w:szCs w:val="28"/>
              </w:rPr>
            </w:pPr>
            <w:r>
              <w:rPr>
                <w:b/>
                <w:bCs/>
                <w:i/>
                <w:sz w:val="26"/>
                <w:szCs w:val="28"/>
              </w:rPr>
              <w:t xml:space="preserve">        </w:t>
            </w:r>
            <w:r w:rsidRPr="00CC0635">
              <w:rPr>
                <w:b/>
                <w:bCs/>
                <w:i/>
                <w:sz w:val="26"/>
                <w:szCs w:val="28"/>
              </w:rPr>
              <w:t xml:space="preserve">b. Đối với đất của Công </w:t>
            </w:r>
            <w:r w:rsidRPr="00CC0635">
              <w:rPr>
                <w:b/>
                <w:i/>
                <w:sz w:val="26"/>
                <w:szCs w:val="28"/>
              </w:rPr>
              <w:t>ty Xăng dầu Quảng Trị</w:t>
            </w:r>
            <w:r w:rsidR="008F2434">
              <w:rPr>
                <w:b/>
                <w:i/>
                <w:sz w:val="26"/>
                <w:szCs w:val="28"/>
              </w:rPr>
              <w:t xml:space="preserve"> và</w:t>
            </w:r>
            <w:r w:rsidRPr="00CC0635">
              <w:rPr>
                <w:b/>
                <w:i/>
                <w:sz w:val="26"/>
                <w:szCs w:val="28"/>
              </w:rPr>
              <w:t xml:space="preserve"> đất của Công ty Hoàng Đức:</w:t>
            </w:r>
            <w:r w:rsidR="008F2434">
              <w:rPr>
                <w:b/>
                <w:i/>
                <w:sz w:val="26"/>
                <w:szCs w:val="28"/>
              </w:rPr>
              <w:t xml:space="preserve"> </w:t>
            </w:r>
            <w:r w:rsidR="00880C9C" w:rsidRPr="006930BC">
              <w:rPr>
                <w:sz w:val="26"/>
                <w:szCs w:val="28"/>
              </w:rPr>
              <w:t xml:space="preserve">Sở đã có Báo cáo tại </w:t>
            </w:r>
            <w:r w:rsidR="006930BC" w:rsidRPr="006930BC">
              <w:rPr>
                <w:sz w:val="26"/>
                <w:szCs w:val="28"/>
              </w:rPr>
              <w:t>Văn bản số 4022/STNMT-TTr ngày 09/11/2022.</w:t>
            </w:r>
          </w:p>
        </w:tc>
        <w:tc>
          <w:tcPr>
            <w:tcW w:w="2598" w:type="dxa"/>
          </w:tcPr>
          <w:p w:rsidR="00A732A9" w:rsidRPr="00256235" w:rsidRDefault="00A732A9" w:rsidP="00496145">
            <w:pPr>
              <w:tabs>
                <w:tab w:val="left" w:pos="7935"/>
              </w:tabs>
              <w:rPr>
                <w:sz w:val="24"/>
                <w:szCs w:val="24"/>
              </w:rPr>
            </w:pPr>
          </w:p>
        </w:tc>
        <w:tc>
          <w:tcPr>
            <w:tcW w:w="630" w:type="dxa"/>
          </w:tcPr>
          <w:p w:rsidR="00A732A9" w:rsidRPr="00256235" w:rsidRDefault="00A732A9" w:rsidP="00256235">
            <w:pPr>
              <w:tabs>
                <w:tab w:val="left" w:pos="7935"/>
              </w:tabs>
              <w:rPr>
                <w:sz w:val="24"/>
                <w:szCs w:val="24"/>
              </w:rPr>
            </w:pPr>
          </w:p>
        </w:tc>
      </w:tr>
      <w:tr w:rsidR="00A732A9" w:rsidRPr="00256235" w:rsidTr="00535C21">
        <w:tc>
          <w:tcPr>
            <w:tcW w:w="630" w:type="dxa"/>
            <w:vAlign w:val="center"/>
          </w:tcPr>
          <w:p w:rsidR="00A732A9" w:rsidRDefault="0022307B" w:rsidP="00256235">
            <w:pPr>
              <w:tabs>
                <w:tab w:val="left" w:pos="7935"/>
              </w:tabs>
              <w:jc w:val="center"/>
              <w:rPr>
                <w:sz w:val="24"/>
                <w:szCs w:val="24"/>
              </w:rPr>
            </w:pPr>
            <w:r>
              <w:rPr>
                <w:sz w:val="24"/>
                <w:szCs w:val="24"/>
              </w:rPr>
              <w:t>2</w:t>
            </w:r>
          </w:p>
        </w:tc>
        <w:tc>
          <w:tcPr>
            <w:tcW w:w="3029" w:type="dxa"/>
          </w:tcPr>
          <w:p w:rsidR="00A732A9" w:rsidRDefault="00A732A9" w:rsidP="0059543F">
            <w:pPr>
              <w:keepNext/>
              <w:outlineLvl w:val="0"/>
              <w:rPr>
                <w:b/>
                <w:i/>
                <w:sz w:val="26"/>
                <w:szCs w:val="28"/>
              </w:rPr>
            </w:pPr>
            <w:r w:rsidRPr="00993FE8">
              <w:rPr>
                <w:b/>
                <w:i/>
                <w:sz w:val="26"/>
                <w:szCs w:val="28"/>
              </w:rPr>
              <w:t>Cử tri xã Vĩnh Long kiến nghị:</w:t>
            </w:r>
          </w:p>
          <w:p w:rsidR="00A732A9" w:rsidRPr="00993FE8" w:rsidRDefault="00A732A9" w:rsidP="0059543F">
            <w:pPr>
              <w:keepNext/>
              <w:outlineLvl w:val="0"/>
              <w:rPr>
                <w:rFonts w:eastAsia="Times New Roman"/>
                <w:sz w:val="24"/>
                <w:szCs w:val="24"/>
                <w:lang w:val="vi-VN" w:eastAsia="vi-VN"/>
              </w:rPr>
            </w:pPr>
            <w:r w:rsidRPr="00993FE8">
              <w:rPr>
                <w:b/>
                <w:i/>
                <w:sz w:val="26"/>
                <w:szCs w:val="28"/>
              </w:rPr>
              <w:t xml:space="preserve"> </w:t>
            </w:r>
            <w:r>
              <w:rPr>
                <w:sz w:val="26"/>
                <w:szCs w:val="28"/>
              </w:rPr>
              <w:t xml:space="preserve">     </w:t>
            </w:r>
            <w:r w:rsidRPr="00993FE8">
              <w:rPr>
                <w:sz w:val="26"/>
                <w:szCs w:val="28"/>
              </w:rPr>
              <w:t xml:space="preserve">Tỉnh cần chỉ đạo các ngành chức năng kiểm tra </w:t>
            </w:r>
            <w:r w:rsidRPr="00993FE8">
              <w:rPr>
                <w:sz w:val="26"/>
                <w:szCs w:val="28"/>
              </w:rPr>
              <w:lastRenderedPageBreak/>
              <w:t xml:space="preserve">nguồn nước thải các </w:t>
            </w:r>
            <w:r>
              <w:rPr>
                <w:sz w:val="26"/>
                <w:szCs w:val="28"/>
              </w:rPr>
              <w:t>C</w:t>
            </w:r>
            <w:r w:rsidRPr="00993FE8">
              <w:rPr>
                <w:sz w:val="26"/>
                <w:szCs w:val="28"/>
              </w:rPr>
              <w:t>ông ty cao su, nhà máy giấy trên địa bàn xã Vĩnh Long. Kiểm tra nguồn nước sông Sa Lung hiện nay bị ô nhiễm, đã nhiều lần kiến nghị, nhưng tình trạng ô nhiễm nguồn nước vẫn đang diễn ra</w:t>
            </w:r>
          </w:p>
        </w:tc>
        <w:tc>
          <w:tcPr>
            <w:tcW w:w="7513" w:type="dxa"/>
          </w:tcPr>
          <w:p w:rsidR="00AA0848" w:rsidRDefault="00AA0848" w:rsidP="00AA0848">
            <w:pPr>
              <w:rPr>
                <w:sz w:val="26"/>
                <w:szCs w:val="26"/>
              </w:rPr>
            </w:pPr>
            <w:r>
              <w:rPr>
                <w:sz w:val="26"/>
                <w:szCs w:val="26"/>
              </w:rPr>
              <w:lastRenderedPageBreak/>
              <w:t xml:space="preserve">     </w:t>
            </w:r>
            <w:r w:rsidRPr="00993FE8">
              <w:rPr>
                <w:color w:val="000000"/>
                <w:sz w:val="26"/>
                <w:szCs w:val="28"/>
              </w:rPr>
              <w:t>Đối với chất lượng nước sông Sa Lung</w:t>
            </w:r>
            <w:r>
              <w:rPr>
                <w:color w:val="000000"/>
                <w:sz w:val="26"/>
                <w:szCs w:val="28"/>
              </w:rPr>
              <w:t xml:space="preserve">: </w:t>
            </w:r>
            <w:r w:rsidRPr="00B97597">
              <w:rPr>
                <w:sz w:val="26"/>
                <w:szCs w:val="26"/>
              </w:rPr>
              <w:t>Ngày 17/4/2023, sau khi nhận phản ánh của UBND xã Vĩnh Sơn và UBND xã Vĩnh Lâm về chất lượng nguồn nước có dấu hiệu ô nhiễm, Sở Tài nguyên và Môi trường đã phối hợp với UBND xã Vĩnh Sơn</w:t>
            </w:r>
            <w:r>
              <w:rPr>
                <w:sz w:val="26"/>
                <w:szCs w:val="26"/>
              </w:rPr>
              <w:t>, Vĩnh Lâm</w:t>
            </w:r>
            <w:r w:rsidRPr="00B97597">
              <w:rPr>
                <w:sz w:val="26"/>
                <w:szCs w:val="26"/>
              </w:rPr>
              <w:t xml:space="preserve"> tiến hành lấy </w:t>
            </w:r>
            <w:r w:rsidRPr="00B97597">
              <w:rPr>
                <w:sz w:val="26"/>
                <w:szCs w:val="26"/>
              </w:rPr>
              <w:lastRenderedPageBreak/>
              <w:t>mẫu</w:t>
            </w:r>
            <w:r>
              <w:rPr>
                <w:sz w:val="26"/>
                <w:szCs w:val="26"/>
              </w:rPr>
              <w:t xml:space="preserve"> đột xuất kiểm tra, đánh giá chất lượng nước</w:t>
            </w:r>
            <w:r w:rsidRPr="00B97597">
              <w:rPr>
                <w:sz w:val="26"/>
                <w:szCs w:val="26"/>
              </w:rPr>
              <w:t xml:space="preserve"> sông Sa Lung. </w:t>
            </w:r>
            <w:r w:rsidR="00ED497B">
              <w:rPr>
                <w:sz w:val="26"/>
                <w:szCs w:val="26"/>
              </w:rPr>
              <w:t xml:space="preserve">Kết quả phân tích các mẫu nước </w:t>
            </w:r>
            <w:r w:rsidR="00ED497B" w:rsidRPr="00B97597">
              <w:rPr>
                <w:sz w:val="26"/>
                <w:szCs w:val="26"/>
              </w:rPr>
              <w:t>sông Sa Lung</w:t>
            </w:r>
            <w:r w:rsidR="00ED497B">
              <w:rPr>
                <w:sz w:val="26"/>
                <w:szCs w:val="26"/>
              </w:rPr>
              <w:t xml:space="preserve"> cho thấy có một số thông số phân tích </w:t>
            </w:r>
            <w:r w:rsidR="00ED497B">
              <w:rPr>
                <w:spacing w:val="-4"/>
                <w:szCs w:val="28"/>
              </w:rPr>
              <w:t>vượt giới hạn B1 của QCVN 08-MT:2015/BTNMT</w:t>
            </w:r>
            <w:r w:rsidR="00ED497B">
              <w:rPr>
                <w:spacing w:val="-4"/>
                <w:szCs w:val="28"/>
              </w:rPr>
              <w:t xml:space="preserve"> - Quy chuẩn kỹ thuật Quốc gia về chất lượng nước mặt. </w:t>
            </w:r>
            <w:r w:rsidRPr="00B97597">
              <w:rPr>
                <w:sz w:val="26"/>
                <w:szCs w:val="26"/>
              </w:rPr>
              <w:t>Sở Tài nguyên và Môi trường đã có</w:t>
            </w:r>
            <w:r>
              <w:rPr>
                <w:sz w:val="26"/>
                <w:szCs w:val="26"/>
              </w:rPr>
              <w:t xml:space="preserve"> thông báo kết quả giám sát đến UBND các xã, Sở NN&amp; PTNT để theo dõi, hướng dẫn</w:t>
            </w:r>
            <w:r w:rsidR="00732EB6">
              <w:rPr>
                <w:sz w:val="26"/>
                <w:szCs w:val="26"/>
              </w:rPr>
              <w:t xml:space="preserve"> người dân lấy nước nuôi tôm</w:t>
            </w:r>
            <w:r w:rsidRPr="00B97597">
              <w:rPr>
                <w:sz w:val="26"/>
                <w:szCs w:val="26"/>
              </w:rPr>
              <w:t xml:space="preserve">. </w:t>
            </w:r>
          </w:p>
          <w:p w:rsidR="00A732A9" w:rsidRPr="00CE137E" w:rsidRDefault="00AA0848" w:rsidP="00732EB6">
            <w:pPr>
              <w:rPr>
                <w:rFonts w:eastAsia="Courier New"/>
                <w:color w:val="000000"/>
                <w:sz w:val="24"/>
                <w:szCs w:val="24"/>
                <w:lang w:val="vi-VN" w:eastAsia="vi-VN" w:bidi="vi-VN"/>
              </w:rPr>
            </w:pPr>
            <w:r>
              <w:rPr>
                <w:sz w:val="26"/>
                <w:szCs w:val="26"/>
              </w:rPr>
              <w:t xml:space="preserve">     </w:t>
            </w:r>
            <w:r>
              <w:rPr>
                <w:sz w:val="26"/>
                <w:szCs w:val="26"/>
              </w:rPr>
              <w:t>Cuối tháng 5/2023</w:t>
            </w:r>
            <w:r>
              <w:rPr>
                <w:sz w:val="26"/>
                <w:szCs w:val="26"/>
              </w:rPr>
              <w:t>,</w:t>
            </w:r>
            <w:r>
              <w:rPr>
                <w:sz w:val="26"/>
                <w:szCs w:val="26"/>
              </w:rPr>
              <w:t xml:space="preserve"> Sở </w:t>
            </w:r>
            <w:r>
              <w:rPr>
                <w:sz w:val="26"/>
                <w:szCs w:val="26"/>
              </w:rPr>
              <w:t xml:space="preserve">TN&amp;MT </w:t>
            </w:r>
            <w:r>
              <w:rPr>
                <w:sz w:val="26"/>
                <w:szCs w:val="26"/>
              </w:rPr>
              <w:t>đã phối hợp vớ</w:t>
            </w:r>
            <w:r>
              <w:rPr>
                <w:sz w:val="26"/>
                <w:szCs w:val="26"/>
              </w:rPr>
              <w:t>i P</w:t>
            </w:r>
            <w:r>
              <w:rPr>
                <w:sz w:val="26"/>
                <w:szCs w:val="26"/>
              </w:rPr>
              <w:t xml:space="preserve">hòng Cảnh sát môi trường Công an tỉnh, UBND huyện Vĩnh Linh, UBND xã Vĩnh Long kiểm tra, rà soát công tác bảo vệ môi trường của các cơ sở </w:t>
            </w:r>
            <w:r>
              <w:rPr>
                <w:sz w:val="26"/>
                <w:szCs w:val="26"/>
              </w:rPr>
              <w:t>chế biến</w:t>
            </w:r>
            <w:r>
              <w:rPr>
                <w:sz w:val="26"/>
                <w:szCs w:val="26"/>
              </w:rPr>
              <w:t xml:space="preserve"> cao su, </w:t>
            </w:r>
            <w:r>
              <w:rPr>
                <w:sz w:val="26"/>
                <w:szCs w:val="26"/>
              </w:rPr>
              <w:t xml:space="preserve">sản xuất </w:t>
            </w:r>
            <w:r>
              <w:rPr>
                <w:sz w:val="26"/>
                <w:szCs w:val="26"/>
              </w:rPr>
              <w:t xml:space="preserve">giấy, bao bì trên địa bàn. Tại thời điểm kiểm tra: </w:t>
            </w:r>
            <w:r>
              <w:rPr>
                <w:color w:val="000000"/>
                <w:sz w:val="26"/>
                <w:szCs w:val="28"/>
              </w:rPr>
              <w:t xml:space="preserve">các </w:t>
            </w:r>
            <w:r>
              <w:rPr>
                <w:color w:val="000000"/>
                <w:sz w:val="26"/>
                <w:szCs w:val="28"/>
              </w:rPr>
              <w:t xml:space="preserve">cơ sở </w:t>
            </w:r>
            <w:r>
              <w:rPr>
                <w:color w:val="000000"/>
                <w:sz w:val="26"/>
                <w:szCs w:val="28"/>
              </w:rPr>
              <w:t>chế biến cao su</w:t>
            </w:r>
            <w:r>
              <w:rPr>
                <w:color w:val="000000"/>
                <w:sz w:val="26"/>
                <w:szCs w:val="28"/>
              </w:rPr>
              <w:t xml:space="preserve"> (</w:t>
            </w:r>
            <w:r>
              <w:rPr>
                <w:color w:val="000000"/>
                <w:sz w:val="26"/>
                <w:szCs w:val="28"/>
              </w:rPr>
              <w:t>Công ty TNHH MTV Trần Dương và Công ty TNHH MTV Đức Hiền Quảng Trị</w:t>
            </w:r>
            <w:r>
              <w:rPr>
                <w:color w:val="000000"/>
                <w:sz w:val="26"/>
                <w:szCs w:val="28"/>
              </w:rPr>
              <w:t>)</w:t>
            </w:r>
            <w:r>
              <w:rPr>
                <w:color w:val="000000"/>
                <w:sz w:val="26"/>
                <w:szCs w:val="28"/>
              </w:rPr>
              <w:t xml:space="preserve"> đang dừng sản xuất để sửa chửa, nâng cấp hệ thống xử lý nước thải, đã hoàn thành đầu tư hệ thống xử lý khí thải.</w:t>
            </w:r>
            <w:r>
              <w:rPr>
                <w:color w:val="000000"/>
                <w:sz w:val="26"/>
                <w:szCs w:val="28"/>
              </w:rPr>
              <w:t xml:space="preserve"> </w:t>
            </w:r>
            <w:r>
              <w:rPr>
                <w:color w:val="000000"/>
                <w:sz w:val="26"/>
                <w:szCs w:val="28"/>
              </w:rPr>
              <w:t xml:space="preserve">Nhà máy Giấy Bắc Trung Bộ đang đầu tư nâng cấp hệ thống xử lý nước thải (hoàn thiện 80%). Nhà máy </w:t>
            </w:r>
            <w:r w:rsidRPr="00993FE8">
              <w:rPr>
                <w:color w:val="000000"/>
                <w:sz w:val="26"/>
                <w:szCs w:val="28"/>
              </w:rPr>
              <w:t xml:space="preserve">tái chế </w:t>
            </w:r>
            <w:r>
              <w:rPr>
                <w:color w:val="000000"/>
                <w:sz w:val="26"/>
                <w:szCs w:val="28"/>
              </w:rPr>
              <w:t>bao bì ni lon của Công ty TNHH MTV</w:t>
            </w:r>
            <w:r w:rsidRPr="00993FE8">
              <w:rPr>
                <w:color w:val="000000"/>
                <w:sz w:val="26"/>
                <w:szCs w:val="28"/>
              </w:rPr>
              <w:t xml:space="preserve"> Cường Anh</w:t>
            </w:r>
            <w:r>
              <w:rPr>
                <w:color w:val="000000"/>
                <w:sz w:val="26"/>
                <w:szCs w:val="28"/>
              </w:rPr>
              <w:t xml:space="preserve"> đang dừng hoạt động, thực hiện tu sửa</w:t>
            </w:r>
            <w:r w:rsidR="00732EB6">
              <w:rPr>
                <w:color w:val="000000"/>
                <w:sz w:val="26"/>
                <w:szCs w:val="28"/>
              </w:rPr>
              <w:t>,</w:t>
            </w:r>
            <w:r>
              <w:rPr>
                <w:color w:val="000000"/>
                <w:sz w:val="26"/>
                <w:szCs w:val="28"/>
              </w:rPr>
              <w:t xml:space="preserve"> vệ sinh hệ thống xử lý.</w:t>
            </w:r>
            <w:r w:rsidR="00732EB6">
              <w:rPr>
                <w:color w:val="000000"/>
                <w:sz w:val="26"/>
                <w:szCs w:val="28"/>
              </w:rPr>
              <w:t xml:space="preserve"> Theo đó, Sở đã yêu cầu các Cơ sở trước khi đi vào hoạt động </w:t>
            </w:r>
            <w:bookmarkStart w:id="0" w:name="_GoBack"/>
            <w:bookmarkEnd w:id="0"/>
            <w:r w:rsidR="00732EB6">
              <w:rPr>
                <w:color w:val="000000"/>
                <w:sz w:val="26"/>
                <w:szCs w:val="28"/>
              </w:rPr>
              <w:t>phải hoàn thiện hệ thống xử lý nước thải và vận hành hệ thống xử lý nước thải đạt quy chuẩn cho phép trước khi xả thải ra môi trường.</w:t>
            </w:r>
          </w:p>
        </w:tc>
        <w:tc>
          <w:tcPr>
            <w:tcW w:w="2598" w:type="dxa"/>
          </w:tcPr>
          <w:p w:rsidR="00A732A9" w:rsidRPr="00256235" w:rsidRDefault="00344FB0" w:rsidP="00732EB6">
            <w:pPr>
              <w:tabs>
                <w:tab w:val="left" w:pos="7935"/>
              </w:tabs>
              <w:rPr>
                <w:sz w:val="24"/>
                <w:szCs w:val="24"/>
              </w:rPr>
            </w:pPr>
            <w:r>
              <w:rPr>
                <w:sz w:val="26"/>
              </w:rPr>
              <w:lastRenderedPageBreak/>
              <w:t xml:space="preserve">Trong thời gian tới, Sở Tài nguyên và Môi trường sẽ </w:t>
            </w:r>
            <w:r w:rsidR="00732EB6">
              <w:rPr>
                <w:sz w:val="26"/>
              </w:rPr>
              <w:t>tiếp tục</w:t>
            </w:r>
            <w:r>
              <w:rPr>
                <w:sz w:val="26"/>
              </w:rPr>
              <w:t xml:space="preserve"> kiểm tra, giám sát việc </w:t>
            </w:r>
            <w:r>
              <w:rPr>
                <w:sz w:val="26"/>
              </w:rPr>
              <w:lastRenderedPageBreak/>
              <w:t xml:space="preserve">xả nước thải của các nhà máy </w:t>
            </w:r>
            <w:r w:rsidRPr="00993FE8">
              <w:rPr>
                <w:sz w:val="26"/>
                <w:szCs w:val="28"/>
              </w:rPr>
              <w:t>trên địa bàn xã Vĩnh Long</w:t>
            </w:r>
            <w:r>
              <w:rPr>
                <w:sz w:val="26"/>
                <w:szCs w:val="28"/>
              </w:rPr>
              <w:t>, xử lý nghiêm đối với các hành vi vi phạm.</w:t>
            </w:r>
          </w:p>
        </w:tc>
        <w:tc>
          <w:tcPr>
            <w:tcW w:w="630" w:type="dxa"/>
          </w:tcPr>
          <w:p w:rsidR="00A732A9" w:rsidRPr="00256235" w:rsidRDefault="00A732A9" w:rsidP="00256235">
            <w:pPr>
              <w:tabs>
                <w:tab w:val="left" w:pos="7935"/>
              </w:tabs>
              <w:rPr>
                <w:sz w:val="24"/>
                <w:szCs w:val="24"/>
              </w:rPr>
            </w:pPr>
          </w:p>
        </w:tc>
      </w:tr>
    </w:tbl>
    <w:p w:rsidR="00256235" w:rsidRPr="00256235" w:rsidRDefault="00256235" w:rsidP="00256235">
      <w:pPr>
        <w:tabs>
          <w:tab w:val="left" w:pos="7935"/>
        </w:tabs>
        <w:rPr>
          <w:sz w:val="24"/>
          <w:szCs w:val="24"/>
        </w:rPr>
      </w:pPr>
    </w:p>
    <w:sectPr w:rsidR="00256235" w:rsidRPr="00256235" w:rsidSect="006600B9">
      <w:footerReference w:type="default" r:id="rId8"/>
      <w:pgSz w:w="15840" w:h="12240" w:orient="landscape"/>
      <w:pgMar w:top="990" w:right="1170" w:bottom="1260" w:left="1440" w:header="63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D2D" w:rsidRDefault="00F35D2D" w:rsidP="001C382C">
      <w:r>
        <w:separator/>
      </w:r>
    </w:p>
  </w:endnote>
  <w:endnote w:type="continuationSeparator" w:id="0">
    <w:p w:rsidR="00F35D2D" w:rsidRDefault="00F35D2D" w:rsidP="001C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761002"/>
      <w:docPartObj>
        <w:docPartGallery w:val="Page Numbers (Bottom of Page)"/>
        <w:docPartUnique/>
      </w:docPartObj>
    </w:sdtPr>
    <w:sdtEndPr>
      <w:rPr>
        <w:noProof/>
        <w:sz w:val="24"/>
      </w:rPr>
    </w:sdtEndPr>
    <w:sdtContent>
      <w:p w:rsidR="001C382C" w:rsidRPr="00683835" w:rsidRDefault="001C382C">
        <w:pPr>
          <w:pStyle w:val="Footer"/>
          <w:jc w:val="center"/>
          <w:rPr>
            <w:sz w:val="24"/>
          </w:rPr>
        </w:pPr>
        <w:r w:rsidRPr="00683835">
          <w:rPr>
            <w:sz w:val="24"/>
          </w:rPr>
          <w:fldChar w:fldCharType="begin"/>
        </w:r>
        <w:r w:rsidRPr="00683835">
          <w:rPr>
            <w:sz w:val="24"/>
          </w:rPr>
          <w:instrText xml:space="preserve"> PAGE   \* MERGEFORMAT </w:instrText>
        </w:r>
        <w:r w:rsidRPr="00683835">
          <w:rPr>
            <w:sz w:val="24"/>
          </w:rPr>
          <w:fldChar w:fldCharType="separate"/>
        </w:r>
        <w:r w:rsidR="00732EB6">
          <w:rPr>
            <w:noProof/>
            <w:sz w:val="24"/>
          </w:rPr>
          <w:t>1</w:t>
        </w:r>
        <w:r w:rsidRPr="00683835">
          <w:rPr>
            <w:noProof/>
            <w:sz w:val="24"/>
          </w:rPr>
          <w:fldChar w:fldCharType="end"/>
        </w:r>
      </w:p>
    </w:sdtContent>
  </w:sdt>
  <w:p w:rsidR="001C382C" w:rsidRDefault="00683835" w:rsidP="00683835">
    <w:pPr>
      <w:pStyle w:val="Footer"/>
      <w:tabs>
        <w:tab w:val="clear" w:pos="4680"/>
        <w:tab w:val="clear" w:pos="9360"/>
        <w:tab w:val="left" w:pos="20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D2D" w:rsidRDefault="00F35D2D" w:rsidP="001C382C">
      <w:r>
        <w:separator/>
      </w:r>
    </w:p>
  </w:footnote>
  <w:footnote w:type="continuationSeparator" w:id="0">
    <w:p w:rsidR="00F35D2D" w:rsidRDefault="00F35D2D" w:rsidP="001C3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35"/>
    <w:rsid w:val="00035ED2"/>
    <w:rsid w:val="00086560"/>
    <w:rsid w:val="00095F78"/>
    <w:rsid w:val="000D6E54"/>
    <w:rsid w:val="000E1713"/>
    <w:rsid w:val="00146494"/>
    <w:rsid w:val="00164E97"/>
    <w:rsid w:val="00176B85"/>
    <w:rsid w:val="001C382C"/>
    <w:rsid w:val="0022307B"/>
    <w:rsid w:val="00256235"/>
    <w:rsid w:val="00344FB0"/>
    <w:rsid w:val="0034595C"/>
    <w:rsid w:val="00392B26"/>
    <w:rsid w:val="003C02C6"/>
    <w:rsid w:val="00400260"/>
    <w:rsid w:val="004909A1"/>
    <w:rsid w:val="00496145"/>
    <w:rsid w:val="004B318F"/>
    <w:rsid w:val="004D0802"/>
    <w:rsid w:val="00535C21"/>
    <w:rsid w:val="00564E73"/>
    <w:rsid w:val="005D63E8"/>
    <w:rsid w:val="00605FE0"/>
    <w:rsid w:val="006600B9"/>
    <w:rsid w:val="00683835"/>
    <w:rsid w:val="006930BC"/>
    <w:rsid w:val="006A28B6"/>
    <w:rsid w:val="006E1769"/>
    <w:rsid w:val="00732EB6"/>
    <w:rsid w:val="0075181D"/>
    <w:rsid w:val="007705A5"/>
    <w:rsid w:val="00795083"/>
    <w:rsid w:val="007A0A13"/>
    <w:rsid w:val="007A4D27"/>
    <w:rsid w:val="007B49B0"/>
    <w:rsid w:val="007C4B5C"/>
    <w:rsid w:val="00825D2D"/>
    <w:rsid w:val="00872A80"/>
    <w:rsid w:val="00880C9C"/>
    <w:rsid w:val="008A7E07"/>
    <w:rsid w:val="008E5DC9"/>
    <w:rsid w:val="008F2434"/>
    <w:rsid w:val="00954AB2"/>
    <w:rsid w:val="00993FE8"/>
    <w:rsid w:val="00A3017E"/>
    <w:rsid w:val="00A732A9"/>
    <w:rsid w:val="00A77983"/>
    <w:rsid w:val="00A8395B"/>
    <w:rsid w:val="00A90F8D"/>
    <w:rsid w:val="00AA0848"/>
    <w:rsid w:val="00B33F5D"/>
    <w:rsid w:val="00B544B8"/>
    <w:rsid w:val="00B753D1"/>
    <w:rsid w:val="00BD0B17"/>
    <w:rsid w:val="00BF2D4A"/>
    <w:rsid w:val="00BF5147"/>
    <w:rsid w:val="00C0273F"/>
    <w:rsid w:val="00C07079"/>
    <w:rsid w:val="00C13856"/>
    <w:rsid w:val="00C8323F"/>
    <w:rsid w:val="00CA64D0"/>
    <w:rsid w:val="00CC5744"/>
    <w:rsid w:val="00CE137E"/>
    <w:rsid w:val="00CF21D6"/>
    <w:rsid w:val="00CF25DE"/>
    <w:rsid w:val="00D27346"/>
    <w:rsid w:val="00D27578"/>
    <w:rsid w:val="00D92111"/>
    <w:rsid w:val="00D9307C"/>
    <w:rsid w:val="00DA0176"/>
    <w:rsid w:val="00DA4ACB"/>
    <w:rsid w:val="00DC51E2"/>
    <w:rsid w:val="00DE28E2"/>
    <w:rsid w:val="00DF2DDA"/>
    <w:rsid w:val="00ED0CEC"/>
    <w:rsid w:val="00ED497B"/>
    <w:rsid w:val="00F35D2D"/>
    <w:rsid w:val="00F73FA0"/>
    <w:rsid w:val="00F8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235"/>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382C"/>
    <w:pPr>
      <w:ind w:left="720"/>
      <w:contextualSpacing/>
    </w:pPr>
  </w:style>
  <w:style w:type="paragraph" w:styleId="Header">
    <w:name w:val="header"/>
    <w:basedOn w:val="Normal"/>
    <w:link w:val="HeaderChar"/>
    <w:uiPriority w:val="99"/>
    <w:unhideWhenUsed/>
    <w:rsid w:val="001C382C"/>
    <w:pPr>
      <w:tabs>
        <w:tab w:val="center" w:pos="4680"/>
        <w:tab w:val="right" w:pos="9360"/>
      </w:tabs>
    </w:pPr>
  </w:style>
  <w:style w:type="character" w:customStyle="1" w:styleId="HeaderChar">
    <w:name w:val="Header Char"/>
    <w:basedOn w:val="DefaultParagraphFont"/>
    <w:link w:val="Header"/>
    <w:uiPriority w:val="99"/>
    <w:rsid w:val="001C382C"/>
    <w:rPr>
      <w:rFonts w:ascii="Times New Roman" w:eastAsia="Calibri" w:hAnsi="Times New Roman" w:cs="Times New Roman"/>
      <w:sz w:val="28"/>
    </w:rPr>
  </w:style>
  <w:style w:type="paragraph" w:styleId="Footer">
    <w:name w:val="footer"/>
    <w:basedOn w:val="Normal"/>
    <w:link w:val="FooterChar"/>
    <w:uiPriority w:val="99"/>
    <w:unhideWhenUsed/>
    <w:rsid w:val="001C382C"/>
    <w:pPr>
      <w:tabs>
        <w:tab w:val="center" w:pos="4680"/>
        <w:tab w:val="right" w:pos="9360"/>
      </w:tabs>
    </w:pPr>
  </w:style>
  <w:style w:type="character" w:customStyle="1" w:styleId="FooterChar">
    <w:name w:val="Footer Char"/>
    <w:basedOn w:val="DefaultParagraphFont"/>
    <w:link w:val="Footer"/>
    <w:uiPriority w:val="99"/>
    <w:rsid w:val="001C382C"/>
    <w:rPr>
      <w:rFonts w:ascii="Times New Roman" w:eastAsia="Calibri" w:hAnsi="Times New Roman" w:cs="Times New Roman"/>
      <w:sz w:val="28"/>
    </w:rPr>
  </w:style>
  <w:style w:type="paragraph" w:styleId="BodyTextIndent">
    <w:name w:val="Body Text Indent"/>
    <w:basedOn w:val="Normal"/>
    <w:link w:val="BodyTextIndentChar"/>
    <w:rsid w:val="004909A1"/>
    <w:pPr>
      <w:spacing w:before="60"/>
      <w:ind w:firstLine="720"/>
    </w:pPr>
    <w:rPr>
      <w:rFonts w:ascii=".VnTime" w:eastAsia="Times New Roman" w:hAnsi=".VnTime"/>
      <w:szCs w:val="20"/>
    </w:rPr>
  </w:style>
  <w:style w:type="character" w:customStyle="1" w:styleId="BodyTextIndentChar">
    <w:name w:val="Body Text Indent Char"/>
    <w:basedOn w:val="DefaultParagraphFont"/>
    <w:link w:val="BodyTextIndent"/>
    <w:rsid w:val="004909A1"/>
    <w:rPr>
      <w:rFonts w:ascii=".VnTime" w:eastAsia="Times New Roman" w:hAnsi=".VnTime" w:cs="Times New Roman"/>
      <w:sz w:val="28"/>
      <w:szCs w:val="20"/>
    </w:rPr>
  </w:style>
  <w:style w:type="paragraph" w:styleId="NormalWeb">
    <w:name w:val="Normal (Web)"/>
    <w:basedOn w:val="Normal"/>
    <w:uiPriority w:val="99"/>
    <w:unhideWhenUsed/>
    <w:rsid w:val="004909A1"/>
    <w:pPr>
      <w:spacing w:before="100" w:beforeAutospacing="1" w:after="100" w:afterAutospacing="1"/>
      <w:jc w:val="left"/>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235"/>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382C"/>
    <w:pPr>
      <w:ind w:left="720"/>
      <w:contextualSpacing/>
    </w:pPr>
  </w:style>
  <w:style w:type="paragraph" w:styleId="Header">
    <w:name w:val="header"/>
    <w:basedOn w:val="Normal"/>
    <w:link w:val="HeaderChar"/>
    <w:uiPriority w:val="99"/>
    <w:unhideWhenUsed/>
    <w:rsid w:val="001C382C"/>
    <w:pPr>
      <w:tabs>
        <w:tab w:val="center" w:pos="4680"/>
        <w:tab w:val="right" w:pos="9360"/>
      </w:tabs>
    </w:pPr>
  </w:style>
  <w:style w:type="character" w:customStyle="1" w:styleId="HeaderChar">
    <w:name w:val="Header Char"/>
    <w:basedOn w:val="DefaultParagraphFont"/>
    <w:link w:val="Header"/>
    <w:uiPriority w:val="99"/>
    <w:rsid w:val="001C382C"/>
    <w:rPr>
      <w:rFonts w:ascii="Times New Roman" w:eastAsia="Calibri" w:hAnsi="Times New Roman" w:cs="Times New Roman"/>
      <w:sz w:val="28"/>
    </w:rPr>
  </w:style>
  <w:style w:type="paragraph" w:styleId="Footer">
    <w:name w:val="footer"/>
    <w:basedOn w:val="Normal"/>
    <w:link w:val="FooterChar"/>
    <w:uiPriority w:val="99"/>
    <w:unhideWhenUsed/>
    <w:rsid w:val="001C382C"/>
    <w:pPr>
      <w:tabs>
        <w:tab w:val="center" w:pos="4680"/>
        <w:tab w:val="right" w:pos="9360"/>
      </w:tabs>
    </w:pPr>
  </w:style>
  <w:style w:type="character" w:customStyle="1" w:styleId="FooterChar">
    <w:name w:val="Footer Char"/>
    <w:basedOn w:val="DefaultParagraphFont"/>
    <w:link w:val="Footer"/>
    <w:uiPriority w:val="99"/>
    <w:rsid w:val="001C382C"/>
    <w:rPr>
      <w:rFonts w:ascii="Times New Roman" w:eastAsia="Calibri" w:hAnsi="Times New Roman" w:cs="Times New Roman"/>
      <w:sz w:val="28"/>
    </w:rPr>
  </w:style>
  <w:style w:type="paragraph" w:styleId="BodyTextIndent">
    <w:name w:val="Body Text Indent"/>
    <w:basedOn w:val="Normal"/>
    <w:link w:val="BodyTextIndentChar"/>
    <w:rsid w:val="004909A1"/>
    <w:pPr>
      <w:spacing w:before="60"/>
      <w:ind w:firstLine="720"/>
    </w:pPr>
    <w:rPr>
      <w:rFonts w:ascii=".VnTime" w:eastAsia="Times New Roman" w:hAnsi=".VnTime"/>
      <w:szCs w:val="20"/>
    </w:rPr>
  </w:style>
  <w:style w:type="character" w:customStyle="1" w:styleId="BodyTextIndentChar">
    <w:name w:val="Body Text Indent Char"/>
    <w:basedOn w:val="DefaultParagraphFont"/>
    <w:link w:val="BodyTextIndent"/>
    <w:rsid w:val="004909A1"/>
    <w:rPr>
      <w:rFonts w:ascii=".VnTime" w:eastAsia="Times New Roman" w:hAnsi=".VnTime" w:cs="Times New Roman"/>
      <w:sz w:val="28"/>
      <w:szCs w:val="20"/>
    </w:rPr>
  </w:style>
  <w:style w:type="paragraph" w:styleId="NormalWeb">
    <w:name w:val="Normal (Web)"/>
    <w:basedOn w:val="Normal"/>
    <w:uiPriority w:val="99"/>
    <w:unhideWhenUsed/>
    <w:rsid w:val="004909A1"/>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40157-F430-402E-B686-9EC01315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dcterms:created xsi:type="dcterms:W3CDTF">2022-11-14T00:52:00Z</dcterms:created>
  <dcterms:modified xsi:type="dcterms:W3CDTF">2023-05-29T07:33:00Z</dcterms:modified>
</cp:coreProperties>
</file>