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54" w:rsidRPr="00EC73D2" w:rsidRDefault="00815454" w:rsidP="00EC73D2">
      <w:pPr>
        <w:spacing w:after="0"/>
        <w:jc w:val="center"/>
        <w:rPr>
          <w:b/>
        </w:rPr>
      </w:pPr>
      <w:r w:rsidRPr="00EC73D2">
        <w:rPr>
          <w:b/>
        </w:rPr>
        <w:t>Phụ lục II</w:t>
      </w:r>
    </w:p>
    <w:p w:rsidR="00815454" w:rsidRPr="00EC73D2" w:rsidRDefault="00815454" w:rsidP="00EC73D2">
      <w:pPr>
        <w:spacing w:after="0"/>
        <w:jc w:val="center"/>
        <w:rPr>
          <w:b/>
        </w:rPr>
      </w:pPr>
      <w:r w:rsidRPr="00EC73D2">
        <w:rPr>
          <w:b/>
        </w:rPr>
        <w:t>PHÂN CẤP NHIỆM VỤ CHI CỦA NGÂN SÁCH CẤP TỈNH VÀ</w:t>
      </w:r>
    </w:p>
    <w:p w:rsidR="00815454" w:rsidRPr="00EC73D2" w:rsidRDefault="00815454" w:rsidP="00EC73D2">
      <w:pPr>
        <w:spacing w:after="0"/>
        <w:jc w:val="center"/>
        <w:rPr>
          <w:b/>
        </w:rPr>
      </w:pPr>
      <w:r w:rsidRPr="00EC73D2">
        <w:rPr>
          <w:b/>
        </w:rPr>
        <w:t>NGÂN SÁCH CẤP XÃ NĂM 2025</w:t>
      </w:r>
    </w:p>
    <w:p w:rsidR="00815454" w:rsidRPr="000546DF" w:rsidRDefault="00815454" w:rsidP="00EC73D2">
      <w:pPr>
        <w:spacing w:after="0"/>
        <w:jc w:val="center"/>
        <w:rPr>
          <w:i/>
        </w:rPr>
      </w:pPr>
      <w:r w:rsidRPr="000546DF">
        <w:rPr>
          <w:i/>
        </w:rPr>
        <w:t xml:space="preserve">(Kèm theo Nghị quyết số </w:t>
      </w:r>
      <w:r w:rsidR="000D79D3">
        <w:rPr>
          <w:i/>
        </w:rPr>
        <w:t>36</w:t>
      </w:r>
      <w:r w:rsidRPr="000546DF">
        <w:rPr>
          <w:i/>
        </w:rPr>
        <w:t xml:space="preserve">/2025/NQ-HĐND ngày </w:t>
      </w:r>
      <w:r w:rsidR="000D79D3">
        <w:rPr>
          <w:i/>
        </w:rPr>
        <w:t>26/6/</w:t>
      </w:r>
      <w:r w:rsidRPr="000546DF">
        <w:rPr>
          <w:i/>
        </w:rPr>
        <w:t>2025</w:t>
      </w:r>
      <w:r w:rsidR="000D79D3">
        <w:rPr>
          <w:i/>
        </w:rPr>
        <w:t xml:space="preserve"> của HĐND tỉnh</w:t>
      </w:r>
      <w:r w:rsidRPr="000546DF">
        <w:rPr>
          <w:i/>
        </w:rPr>
        <w:t>)</w:t>
      </w:r>
    </w:p>
    <w:p w:rsidR="0011008F" w:rsidRDefault="000D79D3" w:rsidP="00EC73D2">
      <w:pPr>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2176936</wp:posOffset>
                </wp:positionH>
                <wp:positionV relativeFrom="paragraph">
                  <wp:posOffset>30588</wp:posOffset>
                </wp:positionV>
                <wp:extent cx="2406770" cy="8626"/>
                <wp:effectExtent l="0" t="0" r="12700" b="29845"/>
                <wp:wrapNone/>
                <wp:docPr id="1" name="Straight Connector 1"/>
                <wp:cNvGraphicFramePr/>
                <a:graphic xmlns:a="http://schemas.openxmlformats.org/drawingml/2006/main">
                  <a:graphicData uri="http://schemas.microsoft.com/office/word/2010/wordprocessingShape">
                    <wps:wsp>
                      <wps:cNvCnPr/>
                      <wps:spPr>
                        <a:xfrm flipV="1">
                          <a:off x="0" y="0"/>
                          <a:ext cx="240677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4pt,2.4pt" to="360.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" strokecolor="black [3200]" strokeweight=".5pt">
                <v:stroke joinstyle="miter"/>
              </v:line>
            </w:pict>
          </mc:Fallback>
        </mc:AlternateContent>
      </w:r>
    </w:p>
    <w:tbl>
      <w:tblPr>
        <w:tblW w:w="10769" w:type="dxa"/>
        <w:tblLayout w:type="fixed"/>
        <w:tblLook w:val="04A0" w:firstRow="1" w:lastRow="0" w:firstColumn="1" w:lastColumn="0" w:noHBand="0" w:noVBand="1"/>
      </w:tblPr>
      <w:tblGrid>
        <w:gridCol w:w="869"/>
        <w:gridCol w:w="4950"/>
        <w:gridCol w:w="4950"/>
      </w:tblGrid>
      <w:tr w:rsidR="00EC73D2" w:rsidRPr="00815454" w:rsidTr="00ED3798">
        <w:trPr>
          <w:trHeight w:val="340"/>
          <w:tblHeader/>
        </w:trPr>
        <w:tc>
          <w:tcPr>
            <w:tcW w:w="869" w:type="dxa"/>
            <w:tcBorders>
              <w:top w:val="single" w:sz="4" w:space="0" w:color="auto"/>
              <w:left w:val="single" w:sz="4" w:space="0" w:color="auto"/>
              <w:bottom w:val="single" w:sz="4" w:space="0" w:color="auto"/>
              <w:right w:val="single" w:sz="4" w:space="0" w:color="auto"/>
            </w:tcBorders>
            <w:shd w:val="clear" w:color="auto" w:fill="auto"/>
            <w:hideMark/>
          </w:tcPr>
          <w:p w:rsidR="00815454" w:rsidRPr="00815454" w:rsidRDefault="00815454" w:rsidP="00ED3798">
            <w:pPr>
              <w:spacing w:before="60" w:after="60"/>
              <w:jc w:val="center"/>
              <w:rPr>
                <w:rFonts w:eastAsia="Times New Roman"/>
                <w:b/>
                <w:bCs/>
                <w:color w:val="000000"/>
                <w:szCs w:val="28"/>
              </w:rPr>
            </w:pPr>
            <w:r w:rsidRPr="00815454">
              <w:rPr>
                <w:rFonts w:eastAsia="Times New Roman"/>
                <w:b/>
                <w:bCs/>
                <w:color w:val="000000"/>
                <w:szCs w:val="28"/>
              </w:rPr>
              <w:t>STT</w:t>
            </w:r>
          </w:p>
        </w:tc>
        <w:tc>
          <w:tcPr>
            <w:tcW w:w="4950" w:type="dxa"/>
            <w:tcBorders>
              <w:top w:val="single" w:sz="4" w:space="0" w:color="auto"/>
              <w:left w:val="nil"/>
              <w:bottom w:val="single" w:sz="4" w:space="0" w:color="auto"/>
              <w:right w:val="single" w:sz="4" w:space="0" w:color="auto"/>
            </w:tcBorders>
            <w:shd w:val="clear" w:color="auto" w:fill="auto"/>
            <w:hideMark/>
          </w:tcPr>
          <w:p w:rsidR="00815454" w:rsidRPr="00815454" w:rsidRDefault="00815454" w:rsidP="00ED3798">
            <w:pPr>
              <w:spacing w:before="60" w:after="60"/>
              <w:jc w:val="center"/>
              <w:rPr>
                <w:rFonts w:eastAsia="Times New Roman"/>
                <w:b/>
                <w:bCs/>
                <w:color w:val="000000"/>
                <w:szCs w:val="28"/>
              </w:rPr>
            </w:pPr>
            <w:r w:rsidRPr="00815454">
              <w:rPr>
                <w:rFonts w:eastAsia="Times New Roman"/>
                <w:b/>
                <w:bCs/>
                <w:color w:val="000000"/>
                <w:szCs w:val="28"/>
              </w:rPr>
              <w:t>Ngân sách cấp tỉnh</w:t>
            </w:r>
          </w:p>
        </w:tc>
        <w:tc>
          <w:tcPr>
            <w:tcW w:w="4950" w:type="dxa"/>
            <w:tcBorders>
              <w:top w:val="single" w:sz="4" w:space="0" w:color="auto"/>
              <w:left w:val="nil"/>
              <w:bottom w:val="single" w:sz="4" w:space="0" w:color="auto"/>
              <w:right w:val="single" w:sz="4" w:space="0" w:color="auto"/>
            </w:tcBorders>
            <w:shd w:val="clear" w:color="auto" w:fill="auto"/>
            <w:hideMark/>
          </w:tcPr>
          <w:p w:rsidR="00815454" w:rsidRPr="00815454" w:rsidRDefault="00815454" w:rsidP="00ED3798">
            <w:pPr>
              <w:spacing w:before="60" w:after="60"/>
              <w:jc w:val="center"/>
              <w:rPr>
                <w:rFonts w:eastAsia="Times New Roman"/>
                <w:b/>
                <w:bCs/>
                <w:color w:val="000000"/>
                <w:szCs w:val="28"/>
              </w:rPr>
            </w:pPr>
            <w:r w:rsidRPr="00815454">
              <w:rPr>
                <w:rFonts w:eastAsia="Times New Roman"/>
                <w:b/>
                <w:bCs/>
                <w:color w:val="000000"/>
                <w:szCs w:val="28"/>
              </w:rPr>
              <w:t>Ngân sách cấp xã</w:t>
            </w:r>
            <w:r w:rsidR="00A019E8">
              <w:rPr>
                <w:rFonts w:eastAsia="Times New Roman"/>
                <w:b/>
                <w:bCs/>
                <w:color w:val="000000"/>
                <w:szCs w:val="28"/>
              </w:rPr>
              <w:t xml:space="preserve"> (bao gồm đặc khu)</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1</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đầu tư phát triển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1. Chi đầu tư phát triển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a) Chi đầu tư xây dựng cơ bản cho các chương trình, dự án do cấp tỉnh quản lý theo các lĩnh vực.</w:t>
            </w:r>
          </w:p>
        </w:tc>
        <w:tc>
          <w:tcPr>
            <w:tcW w:w="4950" w:type="dxa"/>
            <w:tcBorders>
              <w:top w:val="nil"/>
              <w:left w:val="nil"/>
              <w:bottom w:val="single" w:sz="4" w:space="0" w:color="auto"/>
              <w:right w:val="single" w:sz="4" w:space="0" w:color="auto"/>
            </w:tcBorders>
            <w:shd w:val="clear" w:color="auto" w:fill="auto"/>
            <w:hideMark/>
          </w:tcPr>
          <w:p w:rsidR="00E827DF" w:rsidRPr="00E827DF" w:rsidRDefault="00E827DF" w:rsidP="00340D61">
            <w:pPr>
              <w:spacing w:before="20" w:after="20"/>
              <w:jc w:val="both"/>
              <w:rPr>
                <w:rFonts w:eastAsia="Times New Roman"/>
                <w:color w:val="000000"/>
                <w:szCs w:val="28"/>
              </w:rPr>
            </w:pPr>
            <w:r w:rsidRPr="00E827DF">
              <w:rPr>
                <w:rFonts w:eastAsia="Times New Roman"/>
                <w:color w:val="000000"/>
                <w:szCs w:val="28"/>
              </w:rPr>
              <w:t>a) Đầu tư xây dựng cơ bản cho các chương trình, dự án do cấp xã thực hiện theo phân cấp;</w:t>
            </w:r>
          </w:p>
          <w:p w:rsidR="00E827DF" w:rsidRPr="00E827DF" w:rsidRDefault="00E827DF" w:rsidP="00340D61">
            <w:pPr>
              <w:spacing w:before="20" w:after="20"/>
              <w:jc w:val="both"/>
              <w:rPr>
                <w:rFonts w:eastAsia="Times New Roman"/>
                <w:color w:val="000000"/>
                <w:szCs w:val="28"/>
              </w:rPr>
            </w:pPr>
            <w:r w:rsidRPr="00E827DF">
              <w:rPr>
                <w:rFonts w:eastAsia="Times New Roman"/>
                <w:color w:val="000000"/>
                <w:szCs w:val="28"/>
              </w:rPr>
              <w:t>- Chi đầu tư xây dựng trạm y tế cấp xã;</w:t>
            </w:r>
          </w:p>
          <w:p w:rsidR="00E827DF" w:rsidRPr="00E827DF" w:rsidRDefault="00E827DF" w:rsidP="00340D61">
            <w:pPr>
              <w:spacing w:before="20" w:after="20"/>
              <w:jc w:val="both"/>
              <w:rPr>
                <w:rFonts w:eastAsia="Times New Roman"/>
                <w:color w:val="000000"/>
                <w:szCs w:val="28"/>
              </w:rPr>
            </w:pPr>
            <w:r w:rsidRPr="00E827DF">
              <w:rPr>
                <w:rFonts w:eastAsia="Times New Roman"/>
                <w:color w:val="000000"/>
                <w:szCs w:val="28"/>
              </w:rPr>
              <w:t>- Chi đầu tư xây dựng các trường trung học phổ thông, trung học cơ sở, phổ thông cơ sở, tiểu học, giáo dục mầm non;</w:t>
            </w:r>
          </w:p>
          <w:p w:rsidR="00815454" w:rsidRPr="00815454" w:rsidRDefault="00E827DF" w:rsidP="00340D61">
            <w:pPr>
              <w:spacing w:before="20" w:after="20"/>
              <w:jc w:val="both"/>
              <w:rPr>
                <w:rFonts w:eastAsia="Times New Roman"/>
                <w:color w:val="000000"/>
                <w:szCs w:val="28"/>
              </w:rPr>
            </w:pPr>
            <w:r w:rsidRPr="00E827DF">
              <w:rPr>
                <w:rFonts w:eastAsia="Times New Roman"/>
                <w:color w:val="000000"/>
                <w:szCs w:val="28"/>
              </w:rPr>
              <w:t>- Chi đầu tư xây dựng điện chiếu sáng, cấp thoát nước, giao thông đô thị, vệ sinh đô thị và các công trình phúc lợi công cộng khác theo phân cấp.</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b) Chi đầu tư phát triển từ nguồn thu tiền sử dụng đất, xổ số kiến thiết cho các chương trình, dự án theo phân cấp đầu tư của tỉnh.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b) Chi đầu tư xây dựng các công trình, kết cấu hạ tầng kinh tế - xã hội cấp xã từ nguồn huy động đóng góp của các tổ chức, cá nhân cho từng dự án nhất định theo quy định của pháp luật, do Hội đồng nhân dân cấp xã quyết định đưa vào ngân sách cấp xã quản lý.</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0D79D3">
            <w:pPr>
              <w:spacing w:before="20" w:after="20"/>
              <w:jc w:val="both"/>
              <w:rPr>
                <w:rFonts w:eastAsia="Times New Roman"/>
                <w:color w:val="000000"/>
                <w:szCs w:val="28"/>
              </w:rPr>
            </w:pPr>
            <w:r w:rsidRPr="00815454">
              <w:rPr>
                <w:rFonts w:eastAsia="Times New Roman"/>
                <w:color w:val="000000"/>
                <w:szCs w:val="28"/>
              </w:rPr>
              <w:t xml:space="preserve">c) Cấp bù lãi suất tín dụng ưu đãi các chương trình, dự án theo phân cấp; bổ sung vốn điều lệ cho quỹ tài chính nhà nước ngoài ngân sách cấp tỉnh (bao gồm bổ sung vốn cho Quỹ phát triển đất tỉnh); cấp vốn ủy thác qua Ngân hàng </w:t>
            </w:r>
            <w:r w:rsidR="000D79D3">
              <w:rPr>
                <w:rFonts w:eastAsia="Times New Roman"/>
                <w:color w:val="000000"/>
                <w:szCs w:val="28"/>
              </w:rPr>
              <w:t>C</w:t>
            </w:r>
            <w:r w:rsidRPr="00815454">
              <w:rPr>
                <w:rFonts w:eastAsia="Times New Roman"/>
                <w:color w:val="000000"/>
                <w:szCs w:val="28"/>
              </w:rPr>
              <w:t>hính sách xã hội tỉnh; hỗ trợ đầu tư cho các đối tượng chính sách khác theo phân cấp.</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 Cấp bù lãi suất tín dụng ưu đãi các chương trình, dự án theo phân cấp; cấp vốn ủy thác qua Ngân hàng Chính sách xã hội đối với các chương trình, dự án, nhiệm vụ thuộc phạm vi quản lý của cấp xã, do cấp có thẩm quyền giao và thực hiện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d) Chi lập, thẩm định, quyết định hoặc phê duyệt, công bố và điều chỉnh quy hoạch tỉnh, quy hoạch vùng; nhiệm vụ quy hoạch khác của cấp tỉnh sử dụng nguồn vốn đầu tư theo quy định của pháp luật về đầu tư công.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d) Chi thực hiện một số nhiệm vụ liên quan đến công tác lập, thẩm định, quyết định hoặc phê duyệt, công bố và điều chỉnh quy hoạch trong trường hợp được cấp có thẩm quyền giao hoặc phân cấp.</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đ) Đầu tư và hỗ trợ vốn cho các doanh nghiệp cung cấp sản phẩm, dịch vụ công ích do Nhà nước đặt hàng, các tổ chức </w:t>
            </w:r>
            <w:r w:rsidRPr="00815454">
              <w:rPr>
                <w:rFonts w:eastAsia="Times New Roman"/>
                <w:color w:val="000000"/>
                <w:szCs w:val="28"/>
              </w:rPr>
              <w:lastRenderedPageBreak/>
              <w:t>kinh tế, các tổ chức tài chính của địa phương theo quy định của pháp luật.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lastRenderedPageBreak/>
              <w:t>đ) Các khoản chi đầu tư phát triển khác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e) Chi đầu tư phát triển các chương trình, dự án theo Nghị quyết của Hội đồng nhân dân tỉnh; đối ứng các chương trình, dự án do Chính phủ quy định.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g) Đầu tư xây dựng các công trình kết cấu hạ tầng kinh tế - xã hội cấp huyện quản lý trước khi thực hiện sắp xếp đơn vị hành chính được điều chuyển lên cấp tỉnh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h) Xây dựng các công trình thủy lợi liên xã, các công trình giao thông liên xã, các dự án đầu tư do cấp huyện trước khi thực hiện sắp xếp đơn vị hành chính phê duyệt chủ trương đầu tư;</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l) Các khoản chi đầu tư phát triển khác theo quy định của pháp luật.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2</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thường xuyên theo phân cấp quản lý trong các lĩnh vực</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2. Chi thường xuyên theo phân cấp quản lý trong các lĩnh vực</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a) Sự nghiệp giáo dục, đào tạo và dạy nghề</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a) Sự nghiệp giáo dục, đào tạo</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Giáo dục phổ thông trung học, giáo dục thường xuyên, phổ thông dân tộc nội trú, tăng cường cơ sở vật chất cho các khối học và các hoạt động giáo dục khác do cấp tỉnh quản lý.</w:t>
            </w:r>
          </w:p>
        </w:tc>
        <w:tc>
          <w:tcPr>
            <w:tcW w:w="4950" w:type="dxa"/>
            <w:tcBorders>
              <w:top w:val="nil"/>
              <w:left w:val="nil"/>
              <w:bottom w:val="single" w:sz="4" w:space="0" w:color="auto"/>
              <w:right w:val="single" w:sz="4" w:space="0" w:color="auto"/>
            </w:tcBorders>
            <w:shd w:val="clear" w:color="auto" w:fill="auto"/>
          </w:tcPr>
          <w:p w:rsidR="00E827DF" w:rsidRPr="00E827DF" w:rsidRDefault="00E827DF" w:rsidP="00340D61">
            <w:pPr>
              <w:spacing w:before="20" w:after="20"/>
              <w:jc w:val="both"/>
              <w:rPr>
                <w:rFonts w:eastAsia="Times New Roman"/>
                <w:color w:val="000000"/>
                <w:szCs w:val="28"/>
              </w:rPr>
            </w:pPr>
            <w:r w:rsidRPr="00E827DF">
              <w:rPr>
                <w:rFonts w:eastAsia="Times New Roman"/>
                <w:color w:val="000000"/>
                <w:szCs w:val="28"/>
              </w:rPr>
              <w:t>- Chi cho hoạt động giáo dục phổ thông và giáo dục thường xuyên ở các bậc mầm non, tiểu học và trung học cơ sở do cấp xã thực hiện theo phân cấp;</w:t>
            </w:r>
          </w:p>
          <w:p w:rsidR="00E827DF" w:rsidRPr="00E827DF" w:rsidRDefault="00E827DF" w:rsidP="00340D61">
            <w:pPr>
              <w:spacing w:before="20" w:after="20"/>
              <w:jc w:val="both"/>
              <w:rPr>
                <w:rFonts w:eastAsia="Times New Roman"/>
                <w:color w:val="000000"/>
                <w:szCs w:val="28"/>
              </w:rPr>
            </w:pPr>
            <w:r w:rsidRPr="00E827DF">
              <w:rPr>
                <w:rFonts w:eastAsia="Times New Roman"/>
                <w:color w:val="000000"/>
                <w:szCs w:val="28"/>
              </w:rPr>
              <w:t>- Chi hỗ trợ các hoạt động giáo dục, đào tạo trên địa bàn xã, bao gồm: tổ chức Hội nghị giáo dục xã hằng năm, hỗ trợ các trường học trên địa bàn, hoạt động của Trung tâm học tập cộng đồng và các nhiệm vụ giáo dục - đào tạo khác;</w:t>
            </w:r>
          </w:p>
          <w:p w:rsidR="00815454" w:rsidRPr="00815454" w:rsidRDefault="00E827DF" w:rsidP="00340D61">
            <w:pPr>
              <w:spacing w:before="20" w:after="20"/>
              <w:jc w:val="both"/>
              <w:rPr>
                <w:rFonts w:eastAsia="Times New Roman"/>
                <w:color w:val="000000"/>
                <w:szCs w:val="28"/>
              </w:rPr>
            </w:pPr>
            <w:r w:rsidRPr="00E827DF">
              <w:rPr>
                <w:rFonts w:eastAsia="Times New Roman"/>
                <w:color w:val="000000"/>
                <w:szCs w:val="28"/>
              </w:rPr>
              <w:t>- Chi tăng cường cơ sở vật chất, trang thiết bị dạy học;</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Cao đẳng, trung học chuyên nghiệp, đào tạo nghề, đào tạo ngắn hạn và các hình thức đào tạo, bồi dưỡng khác theo quy định phân cấp quản lý cán bộ, công chức, viên chức.</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đào tạo, bồi dưỡng cán bộ, công chức cấp xã theo phân cấp hoặc theo kế hoạch được cơ quan có thẩm quyền phê duyệt.</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b) Sự nghiệp y tế, dân số và gia đình, bao gồm: hoạt động y tế dự phòng, khám bệnh, chữa bệnh, kinh phí đóng và hỗ trợ đóng bảo hiểm y tế cho các đối tượng do ngân sách nhà nước đóng hoặc hỗ trợ theo quy định; vệ sinh an toàn thực phẩm; dân số và gia đình; các hoạt động y tế khác.</w:t>
            </w:r>
          </w:p>
        </w:tc>
        <w:tc>
          <w:tcPr>
            <w:tcW w:w="4950" w:type="dxa"/>
            <w:tcBorders>
              <w:top w:val="nil"/>
              <w:left w:val="nil"/>
              <w:bottom w:val="single" w:sz="4" w:space="0" w:color="auto"/>
              <w:right w:val="single" w:sz="4" w:space="0" w:color="auto"/>
            </w:tcBorders>
            <w:shd w:val="clear" w:color="auto" w:fill="auto"/>
            <w:hideMark/>
          </w:tcPr>
          <w:p w:rsidR="0049093E" w:rsidRPr="0049093E" w:rsidRDefault="00815454" w:rsidP="0049093E">
            <w:pPr>
              <w:spacing w:before="20" w:after="20"/>
              <w:jc w:val="both"/>
              <w:rPr>
                <w:rFonts w:eastAsia="Times New Roman"/>
                <w:color w:val="000000"/>
                <w:szCs w:val="28"/>
              </w:rPr>
            </w:pPr>
            <w:r w:rsidRPr="0049093E">
              <w:rPr>
                <w:rFonts w:eastAsia="Times New Roman"/>
                <w:color w:val="000000"/>
                <w:szCs w:val="28"/>
              </w:rPr>
              <w:t>b) Sự nghiệp y tế:</w:t>
            </w:r>
            <w:r w:rsidR="0049093E" w:rsidRPr="0049093E">
              <w:rPr>
                <w:rFonts w:eastAsia="Times New Roman"/>
                <w:color w:val="000000"/>
                <w:szCs w:val="28"/>
              </w:rPr>
              <w:t xml:space="preserve"> Chi cho hoạt động của trạm y tế cấp xã; công tác y tế dự phòng và phòng, chống dịch bệnh trên địa bàn;</w:t>
            </w:r>
          </w:p>
          <w:p w:rsidR="0049093E" w:rsidRPr="0049093E" w:rsidRDefault="0049093E" w:rsidP="0049093E">
            <w:pPr>
              <w:spacing w:before="20" w:after="20"/>
              <w:jc w:val="both"/>
              <w:rPr>
                <w:rFonts w:eastAsia="Times New Roman"/>
                <w:color w:val="000000"/>
                <w:szCs w:val="28"/>
              </w:rPr>
            </w:pPr>
            <w:r w:rsidRPr="0049093E">
              <w:rPr>
                <w:rFonts w:eastAsia="Times New Roman"/>
                <w:color w:val="000000"/>
                <w:szCs w:val="28"/>
              </w:rPr>
              <w:t>- Công tác phòng chống dịch và vệ sinh an toàn thực phẩm trên địa bàn; hỗ trợ công tác dân số và phục vụ công tác khám, chữa bệnh và các hoạt động thuộc lĩnh vực y tế khác trên địa bàn cấp xã.</w:t>
            </w:r>
          </w:p>
          <w:p w:rsidR="00815454" w:rsidRPr="00A019E8" w:rsidRDefault="0049093E" w:rsidP="0049093E">
            <w:pPr>
              <w:spacing w:before="20" w:after="20"/>
              <w:jc w:val="both"/>
              <w:rPr>
                <w:rFonts w:eastAsia="Times New Roman"/>
                <w:color w:val="000000"/>
                <w:szCs w:val="28"/>
              </w:rPr>
            </w:pPr>
            <w:r w:rsidRPr="0049093E">
              <w:rPr>
                <w:rFonts w:eastAsia="Times New Roman"/>
                <w:color w:val="000000"/>
                <w:szCs w:val="28"/>
              </w:rPr>
              <w:t xml:space="preserve"> </w:t>
            </w:r>
            <w:r w:rsidRPr="00A019E8">
              <w:rPr>
                <w:rFonts w:eastAsia="Times New Roman"/>
                <w:color w:val="000000"/>
                <w:szCs w:val="28"/>
              </w:rPr>
              <w:t>- Chi hỗ trợ hoạt động, tăng cường vật chất trung tâm y tế.</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c) Chi quản lý hành chính nhà nước, đảng, đoàn thể, gồm: Chi hoạt động của các cơ quan quản lý nhà nước, cơ quan Đảng Cộng sản Việt Nam ở cấp tỉnh; hoạt động của các tổ chức chính trị - xã hội ở cấp tỉnh: Ủy ban mặt trận Tổ quốc Việt Nam, Hội Cựu chiến binh Việt Nam, Hội Liên Hiệp Phụ nữ Việt Nam, Hội Nông dân Việt Nam, Đoàn Thanh niên cộng sản Hồ Chí Minh.</w:t>
            </w: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c) Chi quản lý hành chính nhà nước, Đảng, đoàn thể: Chi hoạt động của cơ quan quản lý nhà nước, tổ chức Đảng, các tổ chức chính trị - xã hội ở cấp xã; hỗ trợ hoạt động của thôn, bản, tổ dân phố và các tổ chức tự quản ở cộng đồng dân cư… phù hợp với chức năng, nhiệm vụ được giao.</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d) Hỗ trợ cho các tổ chức chính trị xã hội - nghề nghiệp, tổ chức xã hội, tổ chức xã hội - nghề nghiệp cấp tỉnh theo quy định của Chính phủ và quyết định của Ủy ban nhân dân tỉnh.</w:t>
            </w: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d) Hỗ trợ cho các tổ chức chính trị xã hội - nghề nghiệp, tổ chức xã hội, tổ chức xã hội - nghề nghiệp cấp xã theo quy định của pháp luật.</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đ) Sự nghiệp văn hoá thông tin, bao gồm: bảo tồn, bảo tàng, thư viện, biểu diễn nghệ thuật; hoạt động thông tin, truyền thông, xuất bản, báo chí; các hoạt động văn hóa, thông tin khác do cấp tỉnh  quản lý, thực hiện.</w:t>
            </w: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đ) Sự nghiệp văn hóa, thông tin do cấp xã thực hiện theo phân cấp, thực hiện, bao gồm chi hỗ trợ phong trào “Toàn dân đoàn kết xây dựng đời sống văn hóa” (lồng ghép với cuộc vận động “Toàn dân đoàn kết xây dựng nông thôn mới, đô thị văn minh”); các hoạt động văn hóa, thông tin cơ bản; chi cho hoạt động thư viện, trung tâm văn hóa cấp xã theo phân cấp hoặc theo đặc thù, nhu cầu của địa phương.</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e) Chi sự nghiệp phát thanh, truyền hình và các hoạt động thông tin khác.</w:t>
            </w: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e) Chi sự nghiệp phát thanh truyền thanh và các hoạt động thông tin khác thuộc phạm vi quản lý của cấp xã.</w:t>
            </w:r>
          </w:p>
        </w:tc>
      </w:tr>
      <w:tr w:rsidR="00EC73D2" w:rsidRPr="0049093E"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 xml:space="preserve">g) Chi sự nghiệp thể dục thể thao, bao </w:t>
            </w:r>
            <w:r w:rsidRPr="00A019E8">
              <w:rPr>
                <w:rFonts w:eastAsia="Times New Roman"/>
                <w:color w:val="000000"/>
                <w:szCs w:val="28"/>
              </w:rPr>
              <w:lastRenderedPageBreak/>
              <w:t>gồm: bồi dưỡng, huấn luyện huấn luyện viên, vận động viên các đội tuyển cấp tỉnh; các giải thi đấu cấp tỉnh; quản lý các cơ sở thi đấu thể dục thể thao và các hoạt động thể dục, thể thao khác cấp tỉnh quản lý.</w:t>
            </w:r>
          </w:p>
        </w:tc>
        <w:tc>
          <w:tcPr>
            <w:tcW w:w="4950" w:type="dxa"/>
            <w:tcBorders>
              <w:top w:val="nil"/>
              <w:left w:val="nil"/>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lastRenderedPageBreak/>
              <w:t xml:space="preserve">g) Chi sự nghiệp thể dục, thể thao do </w:t>
            </w:r>
            <w:r w:rsidRPr="00A019E8">
              <w:rPr>
                <w:rFonts w:eastAsia="Times New Roman"/>
                <w:color w:val="000000"/>
                <w:szCs w:val="28"/>
              </w:rPr>
              <w:lastRenderedPageBreak/>
              <w:t>phường, xã quản lý, bao gồm: Hỗ trợ tổ chức các hoạt động thể dục, thể thao tại cơ sở; bồi dưỡng, huấn luyện vận động viên tham gia các giải thi đấu cấp xã hoặc theo nhiệm vụ, kế hoạch được cấp có thẩm quyền giao; quản lý công trình thể dục, thể thao trên địa bàn theo phân cấp.</w:t>
            </w:r>
          </w:p>
        </w:tc>
      </w:tr>
      <w:tr w:rsidR="00EC73D2" w:rsidRPr="00A019E8"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center"/>
              <w:rPr>
                <w:rFonts w:eastAsia="Times New Roman"/>
                <w:color w:val="000000"/>
                <w:szCs w:val="28"/>
              </w:rPr>
            </w:pPr>
          </w:p>
        </w:tc>
        <w:tc>
          <w:tcPr>
            <w:tcW w:w="4950" w:type="dxa"/>
            <w:tcBorders>
              <w:top w:val="nil"/>
              <w:left w:val="single" w:sz="4" w:space="0" w:color="auto"/>
              <w:bottom w:val="single" w:sz="4" w:space="0" w:color="auto"/>
              <w:right w:val="single" w:sz="4" w:space="0" w:color="auto"/>
            </w:tcBorders>
            <w:shd w:val="clear" w:color="auto" w:fill="auto"/>
            <w:hideMark/>
          </w:tcPr>
          <w:p w:rsidR="00815454" w:rsidRPr="00A019E8" w:rsidRDefault="00815454" w:rsidP="00340D61">
            <w:pPr>
              <w:spacing w:before="20" w:after="20"/>
              <w:jc w:val="both"/>
              <w:rPr>
                <w:rFonts w:eastAsia="Times New Roman"/>
                <w:color w:val="000000"/>
                <w:szCs w:val="28"/>
              </w:rPr>
            </w:pPr>
            <w:r w:rsidRPr="00A019E8">
              <w:rPr>
                <w:rFonts w:eastAsia="Times New Roman"/>
                <w:color w:val="000000"/>
                <w:szCs w:val="28"/>
              </w:rPr>
              <w:t>h) Chi sự nghiệp đảm bảo xã hội, bao gồm: các hoạt động đảm bảo xã hội cho các trung tâm, các trại xã hội, Ban Quản lý Nghĩa trang và Đón tiếp thân nhân liệt sỹ; hoạt động chăm sóc và bảo vệ trẻ em; phòng chống các tệ nạn xã hội; cứu tế xã hội, cứu đói, trợ giúp đột xuất trong các trường hợp cấp bách (khắc phục thiên tai, dịch bệnh, ...) trên diện rộng với mức độ nghiêm trọng; thăm hỏi các đối tượng chính sách; các chính sách an sinh xã hội đối với các đối tượng cấp tỉnh quản lý; các chính sách xã hội và các hoạt động xã hội khác cấp tỉnh quản lý, thực hiện.</w:t>
            </w:r>
          </w:p>
        </w:tc>
        <w:tc>
          <w:tcPr>
            <w:tcW w:w="4950" w:type="dxa"/>
            <w:tcBorders>
              <w:top w:val="nil"/>
              <w:left w:val="nil"/>
              <w:bottom w:val="single" w:sz="4" w:space="0" w:color="auto"/>
              <w:right w:val="single" w:sz="4" w:space="0" w:color="auto"/>
            </w:tcBorders>
            <w:shd w:val="clear" w:color="auto" w:fill="auto"/>
            <w:hideMark/>
          </w:tcPr>
          <w:p w:rsidR="00815454" w:rsidRDefault="00815454" w:rsidP="00340D61">
            <w:pPr>
              <w:spacing w:before="20" w:after="20"/>
              <w:jc w:val="both"/>
              <w:rPr>
                <w:rFonts w:eastAsia="Times New Roman"/>
                <w:color w:val="000000"/>
                <w:szCs w:val="28"/>
                <w:lang w:val="fr-FR"/>
              </w:rPr>
            </w:pPr>
            <w:r w:rsidRPr="00815454">
              <w:rPr>
                <w:rFonts w:eastAsia="Times New Roman"/>
                <w:color w:val="000000"/>
                <w:szCs w:val="28"/>
                <w:lang w:val="fr-FR"/>
              </w:rPr>
              <w:t>h) Chi đảm bảo xã hội: Chi trợ cấp hàng tháng cho cán bộ xã nghỉ việc theo chế độ quy định; chi tặng quà, chúc thọ, mừng thọ đối với người cao tuổi; chi cứu tế xã hội; thăm hỏi các đối tượng chính sách; chăm sóc nghĩa trang liệt sỹ; các chính sách</w:t>
            </w:r>
            <w:r w:rsidR="002F4D36">
              <w:rPr>
                <w:rFonts w:eastAsia="Times New Roman"/>
                <w:color w:val="000000"/>
                <w:szCs w:val="28"/>
                <w:lang w:val="fr-FR"/>
              </w:rPr>
              <w:t xml:space="preserve"> xã hội và công tác xã hội khác</w:t>
            </w:r>
            <w:bookmarkStart w:id="0" w:name="_GoBack"/>
            <w:bookmarkEnd w:id="0"/>
            <w:r w:rsidR="00ED3798">
              <w:rPr>
                <w:rFonts w:eastAsia="Times New Roman"/>
                <w:color w:val="000000"/>
                <w:szCs w:val="28"/>
                <w:lang w:val="fr-FR"/>
              </w:rPr>
              <w:t xml:space="preserve">; </w:t>
            </w:r>
          </w:p>
          <w:p w:rsidR="00ED3798" w:rsidRPr="00815454" w:rsidRDefault="00ED3798" w:rsidP="00340D61">
            <w:pPr>
              <w:spacing w:before="20" w:after="20"/>
              <w:jc w:val="both"/>
              <w:rPr>
                <w:rFonts w:eastAsia="Times New Roman"/>
                <w:color w:val="000000"/>
                <w:szCs w:val="28"/>
                <w:lang w:val="fr-FR"/>
              </w:rPr>
            </w:pPr>
            <w:r w:rsidRPr="00815454">
              <w:rPr>
                <w:rFonts w:eastAsia="Times New Roman"/>
                <w:color w:val="000000"/>
                <w:szCs w:val="28"/>
                <w:lang w:val="fr-FR"/>
              </w:rPr>
              <w:t>- Chi thực hiện các chính sách và hoạt động sự nghiệp trong lĩnh vực bảo đảm xã hội do cấp xã thực hiện, bao gồm: thực hiện chế độ trợ giúp thường xuyên, đột xuất đối với đối tượng bảo trợ xã hội; triển khai chương trình, chính sách an sinh xã hội; quản lý, tổ chức điều tra, rà soát hộ nghèo, hộ cận nghèo; xây dựng và thực hiện kế hoạch giảm nghèo, lao động, việc làm; chăm sóc, bảo vệ trẻ em theo chương trình, kế hoạch, chính sách được giao; các hoạt động xã hội khác phục vụ công tác quản lý nhà nước và hỗ trợ bảo đảm an sinh xã hội trên địa bàn.</w:t>
            </w:r>
          </w:p>
        </w:tc>
      </w:tr>
      <w:tr w:rsidR="00EC73D2" w:rsidRPr="00A019E8"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lang w:val="fr-FR"/>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lang w:val="fr-FR"/>
              </w:rPr>
            </w:pPr>
            <w:r w:rsidRPr="00815454">
              <w:rPr>
                <w:rFonts w:eastAsia="Times New Roman"/>
                <w:color w:val="000000"/>
                <w:szCs w:val="28"/>
                <w:lang w:val="fr-FR"/>
              </w:rPr>
              <w:t>i) Chi quốc phòng, an ninh, trật tự, an toàn xã hội thuộc nhiệm vụ chi của ngân sách cấp tỉnh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lang w:val="fr-FR"/>
              </w:rPr>
            </w:pPr>
            <w:r w:rsidRPr="00815454">
              <w:rPr>
                <w:rFonts w:eastAsia="Times New Roman"/>
                <w:color w:val="000000"/>
                <w:szCs w:val="28"/>
                <w:lang w:val="fr-FR"/>
              </w:rPr>
              <w:t>i) Chi quốc phòng, an ninh, trật tự, an toàn xã hội thuộc nhiệm vụ chi của ngân sách cấp xã</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lang w:val="fr-FR"/>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b/>
                <w:i/>
                <w:color w:val="000000"/>
                <w:szCs w:val="28"/>
              </w:rPr>
            </w:pPr>
            <w:r w:rsidRPr="00815454">
              <w:rPr>
                <w:rFonts w:eastAsia="Times New Roman"/>
                <w:b/>
                <w:i/>
                <w:color w:val="000000"/>
                <w:szCs w:val="28"/>
              </w:rPr>
              <w:t>i1. Chi quốc phòng: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b/>
                <w:i/>
                <w:color w:val="000000"/>
                <w:szCs w:val="28"/>
              </w:rPr>
            </w:pPr>
            <w:r w:rsidRPr="00815454">
              <w:rPr>
                <w:rFonts w:eastAsia="Times New Roman"/>
                <w:b/>
                <w:i/>
                <w:color w:val="000000"/>
                <w:szCs w:val="28"/>
              </w:rPr>
              <w:t>i1. Chi quốc phòng:</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Tổ chức hội nghị, tập huấn nghiệp vụ và báo cáo công tác quốc phòng của địa phương; nhiệm vụ xây dựng và hoạt động khu vực phòng thủ.</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tổ chức hội nghị, tập huấn nghiệp vụ, hội thao, hội thi; báo cáo công tác quốc phòng và các nhiệm vụ xây dựng, hoạt động khu vực phòng thủ tại địa phương.</w:t>
            </w:r>
          </w:p>
        </w:tc>
      </w:tr>
      <w:tr w:rsidR="00EC73D2" w:rsidRPr="00815454" w:rsidTr="00ED3798">
        <w:trPr>
          <w:trHeight w:val="362"/>
        </w:trPr>
        <w:tc>
          <w:tcPr>
            <w:tcW w:w="869"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 Tổ chức và huy động lực lượng dự bị động viên; tổ chức và hoạt động của lực lượng dân quân tự vệ; thực hiện công tác </w:t>
            </w:r>
            <w:r w:rsidRPr="00815454">
              <w:rPr>
                <w:rFonts w:eastAsia="Times New Roman"/>
                <w:color w:val="000000"/>
                <w:szCs w:val="28"/>
              </w:rPr>
              <w:lastRenderedPageBreak/>
              <w:t>tuyển quân; chi mua sắm trang phục cho lực lượng dân quân tự vệ.</w:t>
            </w:r>
          </w:p>
        </w:tc>
        <w:tc>
          <w:tcPr>
            <w:tcW w:w="4950"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lastRenderedPageBreak/>
              <w:t xml:space="preserve">- Chi tổ chức và huy động lực lượng dự bị động viên, lực lượng dân quân tự vệ; huấn luyện dân quân tự vệ; phụ cấp huy </w:t>
            </w:r>
            <w:r w:rsidRPr="00815454">
              <w:rPr>
                <w:rFonts w:eastAsia="Times New Roman"/>
                <w:color w:val="000000"/>
                <w:szCs w:val="28"/>
              </w:rPr>
              <w:lastRenderedPageBreak/>
              <w:t>động dân quân tự vệ; (riêng mua sắm trang phục dân quân chỉ thực hiện nếu có hướng dẫn cụ thể hoặc được cấp có thẩm quyền phê duyệt).</w:t>
            </w:r>
          </w:p>
        </w:tc>
      </w:tr>
      <w:tr w:rsidR="00EC73D2" w:rsidRPr="00815454" w:rsidTr="00ED3798">
        <w:trPr>
          <w:trHeight w:val="362"/>
        </w:trPr>
        <w:tc>
          <w:tcPr>
            <w:tcW w:w="869"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center"/>
              <w:rPr>
                <w:rFonts w:eastAsia="Times New Roman"/>
                <w:color w:val="000000"/>
                <w:szCs w:val="28"/>
              </w:rPr>
            </w:pPr>
          </w:p>
        </w:tc>
        <w:tc>
          <w:tcPr>
            <w:tcW w:w="4950"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both"/>
              <w:rPr>
                <w:rFonts w:eastAsia="Times New Roman"/>
                <w:color w:val="000000"/>
                <w:szCs w:val="28"/>
              </w:rPr>
            </w:pPr>
          </w:p>
        </w:tc>
        <w:tc>
          <w:tcPr>
            <w:tcW w:w="4950"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both"/>
              <w:rPr>
                <w:rFonts w:eastAsia="Times New Roman"/>
                <w:color w:val="000000"/>
                <w:szCs w:val="28"/>
              </w:rPr>
            </w:pP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Đảm bảm chế độ, chính sách đối với sĩ quan dự bị và học viên đào tạo sĩ quan dự bị; công tác giáo dục quốc phòng toàn dân và chi bồi dưỡng kiến thức quốc phòng cho cán bộ, công chức lãnh đạo chủ chốt học tại trường quân sự theo quy định; đào tạo cán bộ quân sự xã, phường, thị trấn.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thực hiện công tác tổ chức và huy động lực lượng dân quân tự vệ, dự bị động viên; hoạt động của Ban Chỉ huy quân sự cấp xã; đăng ký nghĩa vụ quân sự, tuyển chọn và gọi công dân nhập ngũ; thực hiện các nhiệm vụ khác về quốc phòng, nghĩa vụ quân sự theo phân cấp và hướng dẫn của cơ quan có thẩm quyền.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xây dựng, sửa chữa các công trình chiến đấu, phục vụ chiến đấu, doanh trại, kho tàng của cơ quan quân sự địa phương, trường quân sự địa phương theo khả năng ngân sách.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xây dựng, sửa chữa các công trình chiến đấu, phục vụ chiến đấu, doanh trại, kho tàng của cơ quan quân sự địa phương, trường quân sự địa phương theo khả năng ngân sách.</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Đảm bảo các nhiệm vụ khác thuộc nhiệm vụ chi quốc phòng do ngân sách tỉnh đảm bảo theo quy định của pháp luật.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Đảm bảo các nhiệm vụ khác thuộc nhiệm vụ chi quốc phòng do ngân sách huyện đảm bảo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b/>
                <w:i/>
                <w:color w:val="000000"/>
                <w:szCs w:val="28"/>
              </w:rPr>
            </w:pPr>
            <w:r w:rsidRPr="00815454">
              <w:rPr>
                <w:rFonts w:eastAsia="Times New Roman"/>
                <w:b/>
                <w:i/>
                <w:color w:val="000000"/>
                <w:szCs w:val="28"/>
              </w:rPr>
              <w:t>i2. Chi an ninh và trật tự, an toàn xã hội:</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b/>
                <w:i/>
                <w:color w:val="000000"/>
                <w:szCs w:val="28"/>
              </w:rPr>
            </w:pPr>
            <w:r w:rsidRPr="00815454">
              <w:rPr>
                <w:rFonts w:eastAsia="Times New Roman"/>
                <w:b/>
                <w:i/>
                <w:color w:val="000000"/>
                <w:szCs w:val="28"/>
              </w:rPr>
              <w:t>i2. Chi trật tự an toàn xã hội:</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các chiến dịch phòng, phòng chống các loại tội phạm, giữ gìn an ninh trật tự và an toàn xã hội; sơ kết, tổng kết phong trào quần chúng bảo vệ an ninh Tổ quốc.</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hỗ trợ, bảo đảm điều kiện hoạt động cho lực lượng Công an chính quy tại cấp xã theo phân cấp hoặc theo hướng dẫn của cấp có thẩm quyền; thực hiện các nhiệm vụ giữ gìn an ninh, trật tự tại địa bàn cơ sở.</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công tác phòng cháy, chữa cháy; hỗ trợ cải tạo, sửa chữa nhà tạm giam, tạm giữ, mua sắm trang thiết bị, phương tiện nghiệp vụ theo khả năng ngân sách địa phương.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Xây dựng phong trào quần chúng bảo vệ an ninh, trật tự, an toàn xã hội; sơ kết, tổng kết phong trào quần chúng bảo vệ an ninh Tổ quốc.</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nhiệm vụ khác về lĩnh vực an ninh và trật tự, an toàn xã hội do ngân sách tỉnh đảm bảo theo quy định.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nhiệm vụ khác về lĩnh vực an ninh và trật tự, an toàn xã hội theo quy định.</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k) Chi sự nghiệp khoa học và công nghệ, bao gồm các nhiệm vụ nghiên cứu, ứng dụng khoa học, công nghệ; các hoạt động </w:t>
            </w:r>
            <w:r w:rsidRPr="00815454">
              <w:rPr>
                <w:rFonts w:eastAsia="Times New Roman"/>
                <w:color w:val="000000"/>
                <w:szCs w:val="28"/>
              </w:rPr>
              <w:lastRenderedPageBreak/>
              <w:t>sự nghiệp khoa học, công nghệ khác.</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lastRenderedPageBreak/>
              <w:t xml:space="preserve">k) Chi sự nghiệp khoa học và công nghệ: Chi ứng dụng, chuyển giao khoa học và công nghệ; các hoạt động sự nghiệp khoa </w:t>
            </w:r>
            <w:r w:rsidRPr="00815454">
              <w:rPr>
                <w:rFonts w:eastAsia="Times New Roman"/>
                <w:color w:val="000000"/>
                <w:szCs w:val="28"/>
              </w:rPr>
              <w:lastRenderedPageBreak/>
              <w:t>học và công nghệ khác theo nhiệm vụ được giao. Không bố trí nhiệm vụ chi cho hoạt động nghiên cứu khoa học và phát triển công nghệ tại cấp xã, trừ trường hợp được cấp có thẩm quyền giao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l) Chi hoạt động sự nghiệp kinh tế</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l) Chi hoạt động sự nghiệp kinh tế</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giao thông: Duy tu, bảo dưỡng và sửa chữa cầu, đường và các công trình giao thông khác; lập biển báo và các biện pháp an toàn giao thông trên các tuyến đường do tỉnh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giao thông, bao gồm chi thực hiện các nhiệm vụ quản lý, bảo trì, sửa chữa, đảm bảo hoạt động và an toàn giao thông trên các tuyến đường thuộc phạm vi quản lý của cấp xã theo phân cấp.</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Sự nghiệp kiến thiết thị chính: Duy tu, bảo dưỡng hệ thống đèn chiếu sáng, vỉa hè, hệ thống cấp nước, thoát nước, công viên và các hoạt động kiến thiết thị chính khác do đơn vị cấp tỉnh quản lý thực hiện.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thị chính: Duy tu, bảo dưỡng trụ sở, điện chiếu sáng, vỉa hè, công viên, cây xanh đô thị và thoát nước công cộng tại trung tâm xã hoặc cấp xã và các đường hẻm thuộc khu dân cư; các công trình phúc lợi công cộng khác thuộc phạm vi quản lý của cấp xã.</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nông nghiệp, lâm nghiệp, diêm nghiệp, thủy sản, thủy lợi và phát triển nông thôn: Duy tu, bảo dưỡng các tuyến đê, các công trình thủy lợi do tỉnh quản lý, các trạm trại nông nghiệp, lâm nghiệp, ngư nghiệp; công tác khuyến lâm, khuyến nông, khuyến ngư; chi khoanh nuôi, bảo vệ, phòng chống cháy rừng, bảo vệ nguồn lợi thủy sản do các đơn vị cấp tỉnh quản lý, thực hiện.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sự nghiệp nông nghiệp, lâm nghiệp, thủy sản, thủy lợi và phát triển nông thôn: Chi duy tu, bảo dưỡng các công trình thủy lợi nhỏ, kênh mương nội đồng, đê điều và trạm trại phục vụ sản xuất nông, lâm, ngư nghiệp thuộc phạm vi quản lý của cấp xã; chi công tác khuyến nông, khuyến lâm, khuyến ngư; khoanh nuôi, bảo vệ rừng, phòng cháy chữa cháy rừng, bảo vệ nguồn lợi thủy sản và các hoạt động khác phù hợp với nhiệm vụ được giao hoặc theo hướng dẫn của cơ quan có thẩm quyền.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tài nguyên: Các hoạt động điều tra, quản lý đất đai, tài nguyên; đo đạc và bản đồ, đo đạc địa giới hành chính; lưu trữ hồ sơ địa chính và các hoạt động quản lý tài nguyên khác thuộc cấp tỉnh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Sự nghiệp tài nguyên: Đo đạc, chỉnh lý bản đồ địa chính, lập bản đồ, chỉnh lý biến động hồ sơ địa chính, lưu trữ hồ sơ địa chính, thống kê, kiểm kê đất đai và các hoạt động sự nghiệp tài nguyên khác theo quyết định của cấp có thẩm quyền và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 Công tác khuyến công; hoạt động xúc </w:t>
            </w:r>
            <w:r w:rsidRPr="00815454">
              <w:rPr>
                <w:rFonts w:eastAsia="Times New Roman"/>
                <w:color w:val="000000"/>
                <w:szCs w:val="28"/>
              </w:rPr>
              <w:lastRenderedPageBreak/>
              <w:t>tiến đầu tư, thương mại và du lịch do cấp tỉnh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lastRenderedPageBreak/>
              <w:t xml:space="preserve"> - Chi hỗ trợ thực hiện một số hoạt động </w:t>
            </w:r>
            <w:r w:rsidRPr="00815454">
              <w:rPr>
                <w:rFonts w:eastAsia="Times New Roman"/>
                <w:color w:val="000000"/>
                <w:szCs w:val="28"/>
              </w:rPr>
              <w:lastRenderedPageBreak/>
              <w:t>khuyến công, xúc tiến đầu tư, thương mại, du lịch và điều tra cơ bản tại địa phương theo phân cấp hoặc theo chỉ đạo, hướng dẫn của cơ quan có thẩm quyền.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hỗ trợ theo các chương trình, chính sách về kinh tế đã được Hội đồng nhân dân tỉnh quyết định.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Chi hỗ trợ theo các chương trình, chính sách về kinh tế đã được Hội đồng nhân dân tỉnh quyết định.</w:t>
            </w:r>
          </w:p>
        </w:tc>
      </w:tr>
      <w:tr w:rsidR="00A019E8"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tcPr>
          <w:p w:rsidR="00A019E8" w:rsidRPr="00815454" w:rsidRDefault="00A019E8"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tcPr>
          <w:p w:rsidR="00A019E8" w:rsidRPr="00815454" w:rsidRDefault="00A019E8" w:rsidP="00340D61">
            <w:pPr>
              <w:spacing w:before="20" w:after="20"/>
              <w:jc w:val="both"/>
              <w:rPr>
                <w:rFonts w:eastAsia="Times New Roman"/>
                <w:color w:val="000000"/>
                <w:szCs w:val="28"/>
              </w:rPr>
            </w:pPr>
            <w:r>
              <w:rPr>
                <w:rFonts w:eastAsia="Times New Roman"/>
                <w:color w:val="000000"/>
                <w:szCs w:val="28"/>
              </w:rPr>
              <w:t xml:space="preserve">- </w:t>
            </w:r>
            <w:r w:rsidRPr="00A019E8">
              <w:rPr>
                <w:rFonts w:eastAsia="Times New Roman"/>
                <w:color w:val="000000"/>
                <w:szCs w:val="28"/>
              </w:rPr>
              <w:t>Chi các nhiệm vụ quy hoạch cấp tỉnh, liên xã, hỗ trợ quy hoạch cấp xã, xây dựng cơ sở dữ liệu quy hoạch toàn tỉnh.</w:t>
            </w:r>
          </w:p>
        </w:tc>
        <w:tc>
          <w:tcPr>
            <w:tcW w:w="4950" w:type="dxa"/>
            <w:tcBorders>
              <w:top w:val="nil"/>
              <w:left w:val="nil"/>
              <w:bottom w:val="single" w:sz="4" w:space="0" w:color="auto"/>
              <w:right w:val="single" w:sz="4" w:space="0" w:color="auto"/>
            </w:tcBorders>
            <w:shd w:val="clear" w:color="auto" w:fill="auto"/>
          </w:tcPr>
          <w:p w:rsidR="00A019E8" w:rsidRPr="00815454" w:rsidRDefault="00A019E8" w:rsidP="00340D61">
            <w:pPr>
              <w:spacing w:before="20" w:after="20"/>
              <w:jc w:val="both"/>
              <w:rPr>
                <w:rFonts w:eastAsia="Times New Roman"/>
                <w:color w:val="000000"/>
                <w:szCs w:val="28"/>
              </w:rPr>
            </w:pPr>
            <w:r>
              <w:rPr>
                <w:rFonts w:eastAsia="Times New Roman"/>
                <w:color w:val="000000"/>
                <w:szCs w:val="28"/>
              </w:rPr>
              <w:t xml:space="preserve">- </w:t>
            </w:r>
            <w:r w:rsidRPr="00A019E8">
              <w:rPr>
                <w:rFonts w:eastAsia="Times New Roman"/>
                <w:color w:val="000000"/>
                <w:szCs w:val="28"/>
              </w:rPr>
              <w:t>Chi lập, điều chỉnh, thẩm định, phê duyệt, công bố, quản lý và cung cấp thông tin quy hoạch trong phạm vi một xã hoặc đặc khu khi được UBND tỉnh phân cấp hoặc ủy quyền.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sự nghiệp kinh tế khác do cấp tỉnh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sự nghiệp kinh tế khác thuộc phạm vi quản lý của cấp xã.</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m) Sự nghiệp bảo vệ môi trường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m) Sự nghiệp bảo vệ môi trường</w:t>
            </w:r>
          </w:p>
        </w:tc>
      </w:tr>
      <w:tr w:rsidR="00EC73D2" w:rsidRPr="00815454" w:rsidTr="00ED3798">
        <w:trPr>
          <w:trHeight w:val="362"/>
        </w:trPr>
        <w:tc>
          <w:tcPr>
            <w:tcW w:w="869"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Xây dựng chiến lược, đề án, chương trình, kế hoạch, quy hoạch bảo vệ môi trường tỉnh; hoạt động thẩm định báo cáo đánh giá môi trường chiến lược của tỉnh.</w:t>
            </w:r>
          </w:p>
        </w:tc>
        <w:tc>
          <w:tcPr>
            <w:tcW w:w="4950" w:type="dxa"/>
            <w:vMerge w:val="restart"/>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Thống kê, đánh giá tình hình ô nhiễm, suy thoái và sự cố môi trường, phòng ngừa, ứng phó khắc phục sự cố môi trường, quản lý chất thải trên địa bàn theo phân cấp.</w:t>
            </w:r>
          </w:p>
        </w:tc>
      </w:tr>
      <w:tr w:rsidR="00EC73D2" w:rsidRPr="00815454" w:rsidTr="00ED3798">
        <w:trPr>
          <w:trHeight w:val="362"/>
        </w:trPr>
        <w:tc>
          <w:tcPr>
            <w:tcW w:w="869"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center"/>
              <w:rPr>
                <w:rFonts w:eastAsia="Times New Roman"/>
                <w:color w:val="000000"/>
                <w:szCs w:val="28"/>
              </w:rPr>
            </w:pPr>
          </w:p>
        </w:tc>
        <w:tc>
          <w:tcPr>
            <w:tcW w:w="4950"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both"/>
              <w:rPr>
                <w:rFonts w:eastAsia="Times New Roman"/>
                <w:color w:val="000000"/>
                <w:szCs w:val="28"/>
              </w:rPr>
            </w:pPr>
          </w:p>
        </w:tc>
        <w:tc>
          <w:tcPr>
            <w:tcW w:w="4950" w:type="dxa"/>
            <w:vMerge/>
            <w:tcBorders>
              <w:top w:val="nil"/>
              <w:left w:val="single" w:sz="4" w:space="0" w:color="auto"/>
              <w:bottom w:val="single" w:sz="4" w:space="0" w:color="auto"/>
              <w:right w:val="single" w:sz="4" w:space="0" w:color="auto"/>
            </w:tcBorders>
            <w:vAlign w:val="center"/>
            <w:hideMark/>
          </w:tcPr>
          <w:p w:rsidR="00815454" w:rsidRPr="00815454" w:rsidRDefault="00815454" w:rsidP="00340D61">
            <w:pPr>
              <w:spacing w:before="20" w:after="20"/>
              <w:jc w:val="both"/>
              <w:rPr>
                <w:rFonts w:eastAsia="Times New Roman"/>
                <w:color w:val="000000"/>
                <w:szCs w:val="28"/>
              </w:rPr>
            </w:pP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Hoạt động của hệ thống quan trắc tài nguyên và môi trường do các cơ quan, đơn vị địa phương quản lý (bao gồm vận hành, bảo dưỡng, bảo trì, sửa chữa, hiệu chuẩn, kiểm định, thay thế thiết bị phụ trợ, công cụ, dụng cụ); xây dựng và thực hiện các chương trình quan trắc hiện trạng môi trường, các tác động đối với môi trường của tỉnh.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Quản lý các công trình vệ sinh công cộng trên địa bàn xã; hỗ trợ các hoạt động giảm thiểu, thu gom, vận chuyển, xử lý rác thải sinh hoạt, vệ sinh môi trường khu dân cư, nơi công cộng thuộc địa bàn quản lý; sửa chữa, cải tạo các công trình hạ tầng bảo vệ môi trường tại các làng nghề được cơ quan có thẩm quyền quy hoạch phát triển và giao cấp xã quản lý; xây dựng mô hình về bảo vệ môi trường tại khu dân cư.</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công tác xử lý ô nhiễm môi trường theo dự án, nhiệm vụ môi trường được cấp có thẩm quyền phê duyệt.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Hỗ trợ hoạt động thu gom, phân loại, vận chuyển, xử lý chất thải sinh hoạt tại địa phương.</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Hoạt động hệ thống thông tin, cơ sở dữ liệu về môi trường; thống kê môi trường; xây dựng, cập nhật bộ chỉ thị môi trường; xây dựng báo cáo môi trường; truyền thông về bảo vệ môi trường; hỗ trợ công tác thanh tra, kiểm tra về bảo vệ môi trường.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Tuyên truyền, phổ biến pháp luật về bảo vệ môi trường cho các hộ gia đình, cá nhân trên địa bàn; kiểm tra việc chấp hành pháp luật về bảo vệ môi trường của hộ gia đình, cá nhân.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Điều tra, thống kê, đánh giá tình hình ô nhiễm, suy thoái và sự cố môi trường, phòng ngừa, ứng phó khắc phục sự cố môi trường, quản lý chất thải.</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Hoạt động xác nhận kế hoạch bảo vệ môi trường đơn giản; xây dựng báo cáo môi trường định kỳ, đột xuất.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Hoạt động của Ban Chỉ đạo, Ban điều hành, Văn phòng thường trực về bảo vệ môi trường do Ủy ban nhân dân tỉnh quyết định thành lập; vốn đối ứng các dự án hợp tác quốc tế về bảo vệ môi trường; triển khai kế hoạch về bảo tồn đa dạng sinh học.</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hoạt động khác có liên quan đến nhiệm vụ bảo vệ môi trường thuộc phạm vi, thẩm quyền cấp xã quản lý, thực hiện.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Các hoạt động khác có liên quan đến nhiệm vụ bảo vệ môi trường do cấp tỉnh quản lý, thực hiện.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noWrap/>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n) Các khoản chi thường xuyên khác của ngân sách theo quy định của pháp luật.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n) Các khoản chi thường xuyên khác của ngân sách theo quy định của pháp luật</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o) Chi sửa chữa thường xuyên, bảo dưỡng các công trình kiến trúc, tài sản, công trình phúc lợi và kết cấu hạ tầng khác theo phân cấp quản lý.</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o) Chi sửa chữa thường xuyên, bảo dưỡng các công trình kiến trúc, tài sản, công trình phúc lợi và kết cấu hạ tầng khác theo phân cấp quản lý.</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p) Chi hỗ trợ thực hiện một số nhiệm vụ: hỗ trợ cho các đơn vị thuộc cấp trên quản lý đóng trên địa bàn theo quy định của pháp luật;</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3</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các Chương trình mục tiêu Quốc gia, chương trình mục tiêu, dự án và nhiệm vụ khác bổ sung có mục tiêu từ ngân sách trung ương do các cơ quan cấp tỉnh thực hiện.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0649D1" w:rsidP="00340D61">
            <w:pPr>
              <w:spacing w:before="20" w:after="20"/>
              <w:jc w:val="both"/>
              <w:rPr>
                <w:rFonts w:eastAsia="Times New Roman"/>
                <w:color w:val="000000"/>
                <w:szCs w:val="28"/>
              </w:rPr>
            </w:pPr>
            <w:r>
              <w:rPr>
                <w:rFonts w:eastAsia="Times New Roman"/>
                <w:color w:val="000000"/>
                <w:szCs w:val="28"/>
              </w:rPr>
              <w:t xml:space="preserve">3. </w:t>
            </w:r>
            <w:r w:rsidR="00815454" w:rsidRPr="00815454">
              <w:rPr>
                <w:rFonts w:eastAsia="Times New Roman"/>
                <w:color w:val="000000"/>
                <w:szCs w:val="28"/>
              </w:rPr>
              <w:t>Chỉ thực hiện các nhiệm vụ thuộc chương trình mục tiêu quốc gia khi được phân cấp hoặc giao nhiệm vụ theo quy định của cấp có thẩm quyền.</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4</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Trả nợ gốc, lãi, phí và chi phí phát sinh khác của các khoản nợ chính quyền địa phương.</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5</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bổ sung Quỹ dự trữ tài chính cấp tỉnh.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6</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Chi bổ sung cân đối ngân sách, bổ sung có mục tiêu cho ngân sách cấp dưới (bao gồm chi bổ sung ngân sách cấp xã thực hiện nhiệm vụ được cấp có thẩm quyền giao nhiệm vụ của cấp huyện trước khi </w:t>
            </w:r>
            <w:r w:rsidRPr="00815454">
              <w:rPr>
                <w:rFonts w:eastAsia="Times New Roman"/>
                <w:color w:val="000000"/>
                <w:szCs w:val="28"/>
              </w:rPr>
              <w:lastRenderedPageBreak/>
              <w:t>thực hiện sắp xếp đơn vị hành chính)</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lastRenderedPageBreak/>
              <w:t> </w:t>
            </w:r>
          </w:p>
        </w:tc>
      </w:tr>
      <w:tr w:rsidR="00EC73D2" w:rsidRPr="00815454" w:rsidTr="00ED379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lastRenderedPageBreak/>
              <w:t>7</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chuyển nguồn ngân sách cấp tỉnh năm trước sang ngân sách cấp tỉnh năm sau.</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chuyển nguồn ngân sách cấp xã năm trước sang ngân sách cấp xã năm sau.</w:t>
            </w:r>
          </w:p>
        </w:tc>
      </w:tr>
      <w:tr w:rsidR="00EC73D2" w:rsidRPr="00815454" w:rsidTr="00A019E8">
        <w:trPr>
          <w:trHeight w:val="340"/>
        </w:trPr>
        <w:tc>
          <w:tcPr>
            <w:tcW w:w="869" w:type="dxa"/>
            <w:tcBorders>
              <w:top w:val="nil"/>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8</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nộp lên ngân sách cấp trên.</w:t>
            </w:r>
          </w:p>
        </w:tc>
        <w:tc>
          <w:tcPr>
            <w:tcW w:w="4950" w:type="dxa"/>
            <w:tcBorders>
              <w:top w:val="nil"/>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Chi nộp lên ngân sách cấp trên.</w:t>
            </w:r>
          </w:p>
        </w:tc>
      </w:tr>
      <w:tr w:rsidR="00EC73D2" w:rsidRPr="00815454" w:rsidTr="00A019E8">
        <w:trPr>
          <w:trHeight w:val="340"/>
        </w:trPr>
        <w:tc>
          <w:tcPr>
            <w:tcW w:w="869" w:type="dxa"/>
            <w:tcBorders>
              <w:top w:val="single" w:sz="4" w:space="0" w:color="auto"/>
              <w:left w:val="single" w:sz="4" w:space="0" w:color="auto"/>
              <w:bottom w:val="single" w:sz="4" w:space="0" w:color="auto"/>
              <w:right w:val="single" w:sz="4" w:space="0" w:color="auto"/>
            </w:tcBorders>
            <w:shd w:val="clear" w:color="auto" w:fill="auto"/>
            <w:hideMark/>
          </w:tcPr>
          <w:p w:rsidR="00815454" w:rsidRPr="00815454" w:rsidRDefault="00815454" w:rsidP="00340D61">
            <w:pPr>
              <w:spacing w:before="20" w:after="20"/>
              <w:jc w:val="center"/>
              <w:rPr>
                <w:rFonts w:eastAsia="Times New Roman"/>
                <w:color w:val="000000"/>
                <w:szCs w:val="28"/>
              </w:rPr>
            </w:pPr>
            <w:r w:rsidRPr="00815454">
              <w:rPr>
                <w:rFonts w:eastAsia="Times New Roman"/>
                <w:color w:val="000000"/>
                <w:szCs w:val="28"/>
              </w:rPr>
              <w:t>9</w:t>
            </w:r>
          </w:p>
        </w:tc>
        <w:tc>
          <w:tcPr>
            <w:tcW w:w="4950" w:type="dxa"/>
            <w:tcBorders>
              <w:top w:val="single" w:sz="4" w:space="0" w:color="auto"/>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Chi hỗ trợ thực hiện một số nhiệm vụ quy định tại </w:t>
            </w:r>
            <w:r w:rsidR="00690062">
              <w:rPr>
                <w:rFonts w:eastAsia="Times New Roman"/>
                <w:color w:val="000000"/>
                <w:szCs w:val="28"/>
              </w:rPr>
              <w:t>đ</w:t>
            </w:r>
            <w:r w:rsidRPr="00815454">
              <w:rPr>
                <w:rFonts w:eastAsia="Times New Roman"/>
                <w:color w:val="000000"/>
                <w:szCs w:val="28"/>
              </w:rPr>
              <w:t>iểm a, b, c khoản 9 Điều 9 Luật Ngân sách nhà nước.</w:t>
            </w:r>
          </w:p>
        </w:tc>
        <w:tc>
          <w:tcPr>
            <w:tcW w:w="4950" w:type="dxa"/>
            <w:tcBorders>
              <w:top w:val="single" w:sz="4" w:space="0" w:color="auto"/>
              <w:left w:val="nil"/>
              <w:bottom w:val="single" w:sz="4" w:space="0" w:color="auto"/>
              <w:right w:val="single" w:sz="4" w:space="0" w:color="auto"/>
            </w:tcBorders>
            <w:shd w:val="clear" w:color="auto" w:fill="auto"/>
            <w:hideMark/>
          </w:tcPr>
          <w:p w:rsidR="00815454" w:rsidRPr="00815454" w:rsidRDefault="00815454" w:rsidP="00340D61">
            <w:pPr>
              <w:spacing w:before="20" w:after="20"/>
              <w:jc w:val="both"/>
              <w:rPr>
                <w:rFonts w:eastAsia="Times New Roman"/>
                <w:color w:val="000000"/>
                <w:szCs w:val="28"/>
              </w:rPr>
            </w:pPr>
            <w:r w:rsidRPr="00815454">
              <w:rPr>
                <w:rFonts w:eastAsia="Times New Roman"/>
                <w:color w:val="000000"/>
                <w:szCs w:val="28"/>
              </w:rPr>
              <w:t xml:space="preserve">Chi hỗ trợ thực hiện một số nhiệm vụ quy định tại </w:t>
            </w:r>
            <w:r w:rsidR="00690062">
              <w:rPr>
                <w:rFonts w:eastAsia="Times New Roman"/>
                <w:color w:val="000000"/>
                <w:szCs w:val="28"/>
              </w:rPr>
              <w:t>đ</w:t>
            </w:r>
            <w:r w:rsidRPr="00815454">
              <w:rPr>
                <w:rFonts w:eastAsia="Times New Roman"/>
                <w:color w:val="000000"/>
                <w:szCs w:val="28"/>
              </w:rPr>
              <w:t>iểm a, b, c khoản 9 Điều 9 Luật Ngân sách nhà nước.</w:t>
            </w:r>
          </w:p>
        </w:tc>
      </w:tr>
      <w:tr w:rsidR="00A019E8" w:rsidRPr="00815454" w:rsidTr="00A019E8">
        <w:trPr>
          <w:trHeight w:val="340"/>
        </w:trPr>
        <w:tc>
          <w:tcPr>
            <w:tcW w:w="869" w:type="dxa"/>
            <w:tcBorders>
              <w:top w:val="single" w:sz="4" w:space="0" w:color="auto"/>
              <w:left w:val="single" w:sz="4" w:space="0" w:color="auto"/>
              <w:bottom w:val="single" w:sz="4" w:space="0" w:color="auto"/>
              <w:right w:val="single" w:sz="4" w:space="0" w:color="auto"/>
            </w:tcBorders>
            <w:shd w:val="clear" w:color="auto" w:fill="auto"/>
          </w:tcPr>
          <w:p w:rsidR="00A019E8" w:rsidRPr="00815454" w:rsidRDefault="00A019E8" w:rsidP="00340D61">
            <w:pPr>
              <w:spacing w:before="20" w:after="20"/>
              <w:jc w:val="center"/>
              <w:rPr>
                <w:rFonts w:eastAsia="Times New Roman"/>
                <w:color w:val="000000"/>
                <w:szCs w:val="28"/>
              </w:rPr>
            </w:pPr>
            <w:r>
              <w:rPr>
                <w:rFonts w:eastAsia="Times New Roman"/>
                <w:color w:val="000000"/>
                <w:szCs w:val="28"/>
              </w:rPr>
              <w:t>10</w:t>
            </w:r>
          </w:p>
        </w:tc>
        <w:tc>
          <w:tcPr>
            <w:tcW w:w="4950" w:type="dxa"/>
            <w:tcBorders>
              <w:top w:val="single" w:sz="4" w:space="0" w:color="auto"/>
              <w:left w:val="nil"/>
              <w:bottom w:val="single" w:sz="4" w:space="0" w:color="auto"/>
              <w:right w:val="single" w:sz="4" w:space="0" w:color="auto"/>
            </w:tcBorders>
            <w:shd w:val="clear" w:color="auto" w:fill="auto"/>
          </w:tcPr>
          <w:p w:rsidR="00A019E8" w:rsidRPr="00815454" w:rsidRDefault="00A019E8" w:rsidP="00340D61">
            <w:pPr>
              <w:spacing w:before="20" w:after="20"/>
              <w:jc w:val="both"/>
              <w:rPr>
                <w:rFonts w:eastAsia="Times New Roman"/>
                <w:color w:val="000000"/>
                <w:szCs w:val="28"/>
              </w:rPr>
            </w:pPr>
            <w:r>
              <w:rPr>
                <w:rFonts w:eastAsia="Times New Roman"/>
                <w:color w:val="000000"/>
                <w:szCs w:val="28"/>
              </w:rPr>
              <w:t>Chi viện trợ</w:t>
            </w:r>
          </w:p>
        </w:tc>
        <w:tc>
          <w:tcPr>
            <w:tcW w:w="4950" w:type="dxa"/>
            <w:tcBorders>
              <w:top w:val="single" w:sz="4" w:space="0" w:color="auto"/>
              <w:left w:val="nil"/>
              <w:bottom w:val="single" w:sz="4" w:space="0" w:color="auto"/>
              <w:right w:val="single" w:sz="4" w:space="0" w:color="auto"/>
            </w:tcBorders>
            <w:shd w:val="clear" w:color="auto" w:fill="auto"/>
          </w:tcPr>
          <w:p w:rsidR="00A019E8" w:rsidRPr="00815454" w:rsidRDefault="00A019E8" w:rsidP="00340D61">
            <w:pPr>
              <w:spacing w:before="20" w:after="20"/>
              <w:jc w:val="both"/>
              <w:rPr>
                <w:rFonts w:eastAsia="Times New Roman"/>
                <w:color w:val="000000"/>
                <w:szCs w:val="28"/>
              </w:rPr>
            </w:pPr>
          </w:p>
        </w:tc>
      </w:tr>
    </w:tbl>
    <w:p w:rsidR="00815454" w:rsidRDefault="00815454"/>
    <w:sectPr w:rsidR="00815454" w:rsidSect="007468ED">
      <w:headerReference w:type="default" r:id="rId7"/>
      <w:pgSz w:w="12240" w:h="15840" w:code="1"/>
      <w:pgMar w:top="851" w:right="851" w:bottom="851" w:left="85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28" w:rsidRDefault="009D1828" w:rsidP="000546DF">
      <w:pPr>
        <w:spacing w:after="0"/>
      </w:pPr>
      <w:r>
        <w:separator/>
      </w:r>
    </w:p>
  </w:endnote>
  <w:endnote w:type="continuationSeparator" w:id="0">
    <w:p w:rsidR="009D1828" w:rsidRDefault="009D1828" w:rsidP="00054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28" w:rsidRDefault="009D1828" w:rsidP="000546DF">
      <w:pPr>
        <w:spacing w:after="0"/>
      </w:pPr>
      <w:r>
        <w:separator/>
      </w:r>
    </w:p>
  </w:footnote>
  <w:footnote w:type="continuationSeparator" w:id="0">
    <w:p w:rsidR="009D1828" w:rsidRDefault="009D1828" w:rsidP="000546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484823571"/>
      <w:docPartObj>
        <w:docPartGallery w:val="Page Numbers (Top of Page)"/>
        <w:docPartUnique/>
      </w:docPartObj>
    </w:sdtPr>
    <w:sdtEndPr>
      <w:rPr>
        <w:noProof/>
      </w:rPr>
    </w:sdtEndPr>
    <w:sdtContent>
      <w:p w:rsidR="000546DF" w:rsidRPr="000546DF" w:rsidRDefault="000546DF">
        <w:pPr>
          <w:pStyle w:val="Header"/>
          <w:jc w:val="center"/>
          <w:rPr>
            <w:sz w:val="26"/>
            <w:szCs w:val="26"/>
          </w:rPr>
        </w:pPr>
        <w:r w:rsidRPr="000546DF">
          <w:rPr>
            <w:sz w:val="26"/>
            <w:szCs w:val="26"/>
          </w:rPr>
          <w:fldChar w:fldCharType="begin"/>
        </w:r>
        <w:r w:rsidRPr="000546DF">
          <w:rPr>
            <w:sz w:val="26"/>
            <w:szCs w:val="26"/>
          </w:rPr>
          <w:instrText xml:space="preserve"> PAGE   \* MERGEFORMAT </w:instrText>
        </w:r>
        <w:r w:rsidRPr="000546DF">
          <w:rPr>
            <w:sz w:val="26"/>
            <w:szCs w:val="26"/>
          </w:rPr>
          <w:fldChar w:fldCharType="separate"/>
        </w:r>
        <w:r w:rsidR="002F4D36">
          <w:rPr>
            <w:noProof/>
            <w:sz w:val="26"/>
            <w:szCs w:val="26"/>
          </w:rPr>
          <w:t>4</w:t>
        </w:r>
        <w:r w:rsidRPr="000546DF">
          <w:rPr>
            <w:noProof/>
            <w:sz w:val="26"/>
            <w:szCs w:val="26"/>
          </w:rPr>
          <w:fldChar w:fldCharType="end"/>
        </w:r>
      </w:p>
    </w:sdtContent>
  </w:sdt>
  <w:p w:rsidR="000546DF" w:rsidRDefault="00054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54"/>
    <w:rsid w:val="000546DF"/>
    <w:rsid w:val="000649D1"/>
    <w:rsid w:val="000D79D3"/>
    <w:rsid w:val="0011008F"/>
    <w:rsid w:val="001C6C1B"/>
    <w:rsid w:val="001D0BEC"/>
    <w:rsid w:val="002751C6"/>
    <w:rsid w:val="002775C9"/>
    <w:rsid w:val="002F439B"/>
    <w:rsid w:val="002F4D36"/>
    <w:rsid w:val="00340D61"/>
    <w:rsid w:val="004469FC"/>
    <w:rsid w:val="0049093E"/>
    <w:rsid w:val="006111AE"/>
    <w:rsid w:val="00690062"/>
    <w:rsid w:val="007468ED"/>
    <w:rsid w:val="00815454"/>
    <w:rsid w:val="00902945"/>
    <w:rsid w:val="009779BC"/>
    <w:rsid w:val="009D1828"/>
    <w:rsid w:val="00A019E8"/>
    <w:rsid w:val="00B866F2"/>
    <w:rsid w:val="00E827DF"/>
    <w:rsid w:val="00EC73D2"/>
    <w:rsid w:val="00ED3798"/>
    <w:rsid w:val="00FE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6DF"/>
    <w:pPr>
      <w:tabs>
        <w:tab w:val="center" w:pos="4680"/>
        <w:tab w:val="right" w:pos="9360"/>
      </w:tabs>
      <w:spacing w:after="0"/>
    </w:pPr>
  </w:style>
  <w:style w:type="character" w:customStyle="1" w:styleId="HeaderChar">
    <w:name w:val="Header Char"/>
    <w:basedOn w:val="DefaultParagraphFont"/>
    <w:link w:val="Header"/>
    <w:uiPriority w:val="99"/>
    <w:rsid w:val="000546DF"/>
  </w:style>
  <w:style w:type="paragraph" w:styleId="Footer">
    <w:name w:val="footer"/>
    <w:basedOn w:val="Normal"/>
    <w:link w:val="FooterChar"/>
    <w:uiPriority w:val="99"/>
    <w:unhideWhenUsed/>
    <w:rsid w:val="000546DF"/>
    <w:pPr>
      <w:tabs>
        <w:tab w:val="center" w:pos="4680"/>
        <w:tab w:val="right" w:pos="9360"/>
      </w:tabs>
      <w:spacing w:after="0"/>
    </w:pPr>
  </w:style>
  <w:style w:type="character" w:customStyle="1" w:styleId="FooterChar">
    <w:name w:val="Footer Char"/>
    <w:basedOn w:val="DefaultParagraphFont"/>
    <w:link w:val="Footer"/>
    <w:uiPriority w:val="99"/>
    <w:rsid w:val="000546DF"/>
  </w:style>
  <w:style w:type="paragraph" w:styleId="BalloonText">
    <w:name w:val="Balloon Text"/>
    <w:basedOn w:val="Normal"/>
    <w:link w:val="BalloonTextChar"/>
    <w:uiPriority w:val="99"/>
    <w:semiHidden/>
    <w:unhideWhenUsed/>
    <w:rsid w:val="004909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6DF"/>
    <w:pPr>
      <w:tabs>
        <w:tab w:val="center" w:pos="4680"/>
        <w:tab w:val="right" w:pos="9360"/>
      </w:tabs>
      <w:spacing w:after="0"/>
    </w:pPr>
  </w:style>
  <w:style w:type="character" w:customStyle="1" w:styleId="HeaderChar">
    <w:name w:val="Header Char"/>
    <w:basedOn w:val="DefaultParagraphFont"/>
    <w:link w:val="Header"/>
    <w:uiPriority w:val="99"/>
    <w:rsid w:val="000546DF"/>
  </w:style>
  <w:style w:type="paragraph" w:styleId="Footer">
    <w:name w:val="footer"/>
    <w:basedOn w:val="Normal"/>
    <w:link w:val="FooterChar"/>
    <w:uiPriority w:val="99"/>
    <w:unhideWhenUsed/>
    <w:rsid w:val="000546DF"/>
    <w:pPr>
      <w:tabs>
        <w:tab w:val="center" w:pos="4680"/>
        <w:tab w:val="right" w:pos="9360"/>
      </w:tabs>
      <w:spacing w:after="0"/>
    </w:pPr>
  </w:style>
  <w:style w:type="character" w:customStyle="1" w:styleId="FooterChar">
    <w:name w:val="Footer Char"/>
    <w:basedOn w:val="DefaultParagraphFont"/>
    <w:link w:val="Footer"/>
    <w:uiPriority w:val="99"/>
    <w:rsid w:val="000546DF"/>
  </w:style>
  <w:style w:type="paragraph" w:styleId="BalloonText">
    <w:name w:val="Balloon Text"/>
    <w:basedOn w:val="Normal"/>
    <w:link w:val="BalloonTextChar"/>
    <w:uiPriority w:val="99"/>
    <w:semiHidden/>
    <w:unhideWhenUsed/>
    <w:rsid w:val="004909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0839">
      <w:bodyDiv w:val="1"/>
      <w:marLeft w:val="0"/>
      <w:marRight w:val="0"/>
      <w:marTop w:val="0"/>
      <w:marBottom w:val="0"/>
      <w:divBdr>
        <w:top w:val="none" w:sz="0" w:space="0" w:color="auto"/>
        <w:left w:val="none" w:sz="0" w:space="0" w:color="auto"/>
        <w:bottom w:val="none" w:sz="0" w:space="0" w:color="auto"/>
        <w:right w:val="none" w:sz="0" w:space="0" w:color="auto"/>
      </w:divBdr>
    </w:div>
    <w:div w:id="937637465">
      <w:bodyDiv w:val="1"/>
      <w:marLeft w:val="0"/>
      <w:marRight w:val="0"/>
      <w:marTop w:val="0"/>
      <w:marBottom w:val="0"/>
      <w:divBdr>
        <w:top w:val="none" w:sz="0" w:space="0" w:color="auto"/>
        <w:left w:val="none" w:sz="0" w:space="0" w:color="auto"/>
        <w:bottom w:val="none" w:sz="0" w:space="0" w:color="auto"/>
        <w:right w:val="none" w:sz="0" w:space="0" w:color="auto"/>
      </w:divBdr>
    </w:div>
    <w:div w:id="1832019820">
      <w:bodyDiv w:val="1"/>
      <w:marLeft w:val="0"/>
      <w:marRight w:val="0"/>
      <w:marTop w:val="0"/>
      <w:marBottom w:val="0"/>
      <w:divBdr>
        <w:top w:val="none" w:sz="0" w:space="0" w:color="auto"/>
        <w:left w:val="none" w:sz="0" w:space="0" w:color="auto"/>
        <w:bottom w:val="none" w:sz="0" w:space="0" w:color="auto"/>
        <w:right w:val="none" w:sz="0" w:space="0" w:color="auto"/>
      </w:divBdr>
    </w:div>
    <w:div w:id="19115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19</cp:revision>
  <cp:lastPrinted>2025-06-14T12:28:00Z</cp:lastPrinted>
  <dcterms:created xsi:type="dcterms:W3CDTF">2025-06-14T11:40:00Z</dcterms:created>
  <dcterms:modified xsi:type="dcterms:W3CDTF">2025-06-25T08:19:00Z</dcterms:modified>
</cp:coreProperties>
</file>