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FCD" w:rsidRPr="005F7BCA" w:rsidRDefault="0075639A" w:rsidP="005F7BCA">
      <w:pPr>
        <w:jc w:val="center"/>
        <w:rPr>
          <w:b/>
        </w:rPr>
      </w:pPr>
      <w:bookmarkStart w:id="0" w:name="_GoBack"/>
      <w:bookmarkEnd w:id="0"/>
      <w:r w:rsidRPr="005F7BCA">
        <w:rPr>
          <w:b/>
        </w:rPr>
        <w:t>PHỤ LỤC 2</w:t>
      </w:r>
    </w:p>
    <w:p w:rsidR="0075639A" w:rsidRPr="005F7BCA" w:rsidRDefault="0075639A" w:rsidP="003A7769">
      <w:pPr>
        <w:spacing w:after="0"/>
        <w:jc w:val="center"/>
        <w:rPr>
          <w:b/>
        </w:rPr>
      </w:pPr>
      <w:r w:rsidRPr="005F7BCA">
        <w:rPr>
          <w:b/>
        </w:rPr>
        <w:t>BÁO CÁO KẾT QUẢ GIẢI QUYẾT Ý KIẾN, KIẾN NGHỊ CỬ TRI GỬI ĐẾN KỲ HỌP THỨ 18 VÀ KỲ HỌP THỨ 21, HĐND TỈNH KHÓA VIII NHIỆM KỲ 2021-2026</w:t>
      </w:r>
    </w:p>
    <w:p w:rsidR="0075639A" w:rsidRPr="005F7BCA" w:rsidRDefault="0075639A" w:rsidP="005F7BCA">
      <w:pPr>
        <w:jc w:val="center"/>
        <w:rPr>
          <w:b/>
        </w:rPr>
      </w:pPr>
      <w:r w:rsidRPr="005F7BCA">
        <w:rPr>
          <w:b/>
        </w:rPr>
        <w:t>(Những nội dung thuộc thẩm quyền giải quyết của UBND tỉnh)</w:t>
      </w:r>
    </w:p>
    <w:tbl>
      <w:tblPr>
        <w:tblStyle w:val="TableGrid"/>
        <w:tblW w:w="0" w:type="auto"/>
        <w:tblInd w:w="108" w:type="dxa"/>
        <w:tblLook w:val="04A0" w:firstRow="1" w:lastRow="0" w:firstColumn="1" w:lastColumn="0" w:noHBand="0" w:noVBand="1"/>
      </w:tblPr>
      <w:tblGrid>
        <w:gridCol w:w="563"/>
        <w:gridCol w:w="5434"/>
        <w:gridCol w:w="5577"/>
        <w:gridCol w:w="1278"/>
        <w:gridCol w:w="1562"/>
      </w:tblGrid>
      <w:tr w:rsidR="00484932" w:rsidRPr="00484932" w:rsidTr="006E11D4">
        <w:trPr>
          <w:tblHeader/>
        </w:trPr>
        <w:tc>
          <w:tcPr>
            <w:tcW w:w="0" w:type="auto"/>
            <w:shd w:val="clear" w:color="auto" w:fill="D9D9D9" w:themeFill="background1" w:themeFillShade="D9"/>
            <w:vAlign w:val="center"/>
          </w:tcPr>
          <w:p w:rsidR="005F7BCA" w:rsidRPr="00484932" w:rsidRDefault="005F7BCA" w:rsidP="00484932">
            <w:pPr>
              <w:spacing w:line="264" w:lineRule="auto"/>
              <w:jc w:val="center"/>
              <w:rPr>
                <w:rFonts w:cs="Times New Roman"/>
                <w:b/>
                <w:szCs w:val="26"/>
              </w:rPr>
            </w:pPr>
            <w:r w:rsidRPr="00484932">
              <w:rPr>
                <w:rFonts w:cs="Times New Roman"/>
                <w:b/>
                <w:szCs w:val="26"/>
              </w:rPr>
              <w:t>TT</w:t>
            </w:r>
          </w:p>
        </w:tc>
        <w:tc>
          <w:tcPr>
            <w:tcW w:w="0" w:type="auto"/>
            <w:shd w:val="clear" w:color="auto" w:fill="D9D9D9" w:themeFill="background1" w:themeFillShade="D9"/>
            <w:vAlign w:val="center"/>
          </w:tcPr>
          <w:p w:rsidR="005F7BCA" w:rsidRPr="00484932" w:rsidRDefault="005F7BCA" w:rsidP="00484932">
            <w:pPr>
              <w:spacing w:line="264" w:lineRule="auto"/>
              <w:jc w:val="center"/>
              <w:rPr>
                <w:rFonts w:cs="Times New Roman"/>
                <w:b/>
                <w:szCs w:val="26"/>
              </w:rPr>
            </w:pPr>
            <w:r w:rsidRPr="00484932">
              <w:rPr>
                <w:rFonts w:cs="Times New Roman"/>
                <w:b/>
                <w:szCs w:val="26"/>
              </w:rPr>
              <w:t>Nội dung kiến nghị</w:t>
            </w:r>
          </w:p>
        </w:tc>
        <w:tc>
          <w:tcPr>
            <w:tcW w:w="0" w:type="auto"/>
            <w:shd w:val="clear" w:color="auto" w:fill="D9D9D9" w:themeFill="background1" w:themeFillShade="D9"/>
            <w:vAlign w:val="center"/>
          </w:tcPr>
          <w:p w:rsidR="005F7BCA" w:rsidRPr="00484932" w:rsidRDefault="005F7BCA" w:rsidP="00484932">
            <w:pPr>
              <w:spacing w:line="264" w:lineRule="auto"/>
              <w:jc w:val="center"/>
              <w:rPr>
                <w:rFonts w:cs="Times New Roman"/>
                <w:b/>
                <w:szCs w:val="26"/>
              </w:rPr>
            </w:pPr>
            <w:r w:rsidRPr="00484932">
              <w:rPr>
                <w:rFonts w:cs="Times New Roman"/>
                <w:b/>
                <w:szCs w:val="26"/>
              </w:rPr>
              <w:t>Kết quả giải quyết/ Hướng giải quyết</w:t>
            </w:r>
          </w:p>
        </w:tc>
        <w:tc>
          <w:tcPr>
            <w:tcW w:w="0" w:type="auto"/>
            <w:shd w:val="clear" w:color="auto" w:fill="D9D9D9" w:themeFill="background1" w:themeFillShade="D9"/>
            <w:vAlign w:val="center"/>
          </w:tcPr>
          <w:p w:rsidR="005F7BCA" w:rsidRPr="00484932" w:rsidRDefault="005F7BCA" w:rsidP="00484932">
            <w:pPr>
              <w:spacing w:line="264" w:lineRule="auto"/>
              <w:jc w:val="center"/>
              <w:rPr>
                <w:rFonts w:cs="Times New Roman"/>
                <w:b/>
                <w:szCs w:val="26"/>
              </w:rPr>
            </w:pPr>
            <w:r w:rsidRPr="00484932">
              <w:rPr>
                <w:rFonts w:cs="Times New Roman"/>
                <w:b/>
                <w:szCs w:val="26"/>
              </w:rPr>
              <w:t>Đề xuất thời hạn giải quyết dứt điểm</w:t>
            </w:r>
          </w:p>
        </w:tc>
        <w:tc>
          <w:tcPr>
            <w:tcW w:w="0" w:type="auto"/>
            <w:shd w:val="clear" w:color="auto" w:fill="D9D9D9" w:themeFill="background1" w:themeFillShade="D9"/>
            <w:vAlign w:val="center"/>
          </w:tcPr>
          <w:p w:rsidR="005F7BCA" w:rsidRPr="00484932" w:rsidRDefault="005F7BCA" w:rsidP="00484932">
            <w:pPr>
              <w:spacing w:line="264" w:lineRule="auto"/>
              <w:jc w:val="center"/>
              <w:rPr>
                <w:rFonts w:cs="Times New Roman"/>
                <w:b/>
                <w:szCs w:val="26"/>
              </w:rPr>
            </w:pPr>
            <w:r w:rsidRPr="00484932">
              <w:rPr>
                <w:rFonts w:cs="Times New Roman"/>
                <w:b/>
                <w:szCs w:val="26"/>
              </w:rPr>
              <w:t>Ghi chú</w:t>
            </w:r>
          </w:p>
        </w:tc>
      </w:tr>
      <w:tr w:rsidR="00484932" w:rsidRPr="00484932" w:rsidTr="006E11D4">
        <w:trPr>
          <w:trHeight w:val="860"/>
        </w:trPr>
        <w:tc>
          <w:tcPr>
            <w:tcW w:w="0" w:type="auto"/>
            <w:vAlign w:val="center"/>
          </w:tcPr>
          <w:p w:rsidR="005F7BCA" w:rsidRPr="00484932" w:rsidRDefault="005F7BCA" w:rsidP="00484932">
            <w:pPr>
              <w:spacing w:line="264" w:lineRule="auto"/>
              <w:rPr>
                <w:rFonts w:cs="Times New Roman"/>
                <w:b/>
                <w:szCs w:val="26"/>
              </w:rPr>
            </w:pPr>
            <w:r w:rsidRPr="00484932">
              <w:rPr>
                <w:rFonts w:cs="Times New Roman"/>
                <w:b/>
                <w:szCs w:val="26"/>
              </w:rPr>
              <w:t>A</w:t>
            </w:r>
          </w:p>
        </w:tc>
        <w:tc>
          <w:tcPr>
            <w:tcW w:w="0" w:type="auto"/>
            <w:gridSpan w:val="3"/>
            <w:vAlign w:val="center"/>
          </w:tcPr>
          <w:p w:rsidR="005F7BCA" w:rsidRPr="00484932" w:rsidRDefault="005F7BCA" w:rsidP="00484932">
            <w:pPr>
              <w:spacing w:line="264" w:lineRule="auto"/>
              <w:rPr>
                <w:rFonts w:cs="Times New Roman"/>
                <w:b/>
                <w:szCs w:val="26"/>
              </w:rPr>
            </w:pPr>
            <w:r w:rsidRPr="00484932">
              <w:rPr>
                <w:rFonts w:cs="Times New Roman"/>
                <w:b/>
                <w:szCs w:val="26"/>
              </w:rPr>
              <w:t>Kiến nghị cử tri gửi đến Kỳ họp thứ 18 HĐND tỉnh</w:t>
            </w:r>
          </w:p>
        </w:tc>
        <w:tc>
          <w:tcPr>
            <w:tcW w:w="0" w:type="auto"/>
          </w:tcPr>
          <w:p w:rsidR="005F7BCA" w:rsidRPr="00484932" w:rsidRDefault="005F7BCA" w:rsidP="00484932">
            <w:pPr>
              <w:spacing w:line="264" w:lineRule="auto"/>
              <w:rPr>
                <w:rFonts w:cs="Times New Roman"/>
                <w:i/>
                <w:szCs w:val="26"/>
              </w:rPr>
            </w:pPr>
            <w:r w:rsidRPr="00484932">
              <w:rPr>
                <w:rFonts w:cs="Times New Roman"/>
                <w:i/>
                <w:szCs w:val="26"/>
              </w:rPr>
              <w:t>Nêu tại Phụ lục Báo cáo số 387/BC-HĐND</w:t>
            </w:r>
          </w:p>
        </w:tc>
      </w:tr>
      <w:tr w:rsidR="00484932" w:rsidRPr="00484932" w:rsidTr="006E11D4">
        <w:tc>
          <w:tcPr>
            <w:tcW w:w="0" w:type="auto"/>
          </w:tcPr>
          <w:p w:rsidR="00454696" w:rsidRPr="00484932" w:rsidRDefault="00886785" w:rsidP="00484932">
            <w:pPr>
              <w:spacing w:line="264" w:lineRule="auto"/>
              <w:rPr>
                <w:rFonts w:cs="Times New Roman"/>
                <w:szCs w:val="26"/>
              </w:rPr>
            </w:pPr>
            <w:r w:rsidRPr="00484932">
              <w:rPr>
                <w:rFonts w:cs="Times New Roman"/>
                <w:szCs w:val="26"/>
              </w:rPr>
              <w:t>1</w:t>
            </w:r>
          </w:p>
        </w:tc>
        <w:tc>
          <w:tcPr>
            <w:tcW w:w="0" w:type="auto"/>
          </w:tcPr>
          <w:p w:rsidR="00454696" w:rsidRPr="00484932" w:rsidRDefault="00454696" w:rsidP="00484932">
            <w:pPr>
              <w:spacing w:line="264" w:lineRule="auto"/>
              <w:ind w:firstLine="318"/>
              <w:jc w:val="both"/>
              <w:rPr>
                <w:rFonts w:cs="Times New Roman"/>
                <w:szCs w:val="26"/>
              </w:rPr>
            </w:pPr>
            <w:r w:rsidRPr="00484932">
              <w:rPr>
                <w:rFonts w:cs="Times New Roman"/>
                <w:b/>
                <w:i/>
                <w:szCs w:val="26"/>
              </w:rPr>
              <w:t>Cử tri phường Đông Thanh kiến nghị:</w:t>
            </w:r>
            <w:r w:rsidRPr="00484932">
              <w:rPr>
                <w:rFonts w:cs="Times New Roman"/>
                <w:szCs w:val="26"/>
              </w:rPr>
              <w:t xml:space="preserve"> Sau khi sáp nhập các khu phố trên địa bàn phường, các chi hội, đoàn thể hoạt động rất khó khăn vì dân số đông, địa bàn rộng, nhưng chế độ phụ cấp không đảm bảo dẫn đến nhiều cán bộ xin thôi làm nhiệm vụ, ảnh hưởng đến công tác điều hành công việc ở khu phố, đề nghị tăng chế độ phụ cấp cho cán bộ cơ sở.</w:t>
            </w:r>
          </w:p>
        </w:tc>
        <w:tc>
          <w:tcPr>
            <w:tcW w:w="0" w:type="auto"/>
          </w:tcPr>
          <w:p w:rsidR="00454696" w:rsidRPr="00484932" w:rsidRDefault="009A1DDA" w:rsidP="00484932">
            <w:pPr>
              <w:spacing w:line="264" w:lineRule="auto"/>
              <w:ind w:firstLine="318"/>
              <w:jc w:val="both"/>
              <w:rPr>
                <w:rFonts w:cs="Times New Roman"/>
                <w:szCs w:val="26"/>
              </w:rPr>
            </w:pPr>
            <w:r w:rsidRPr="00484932">
              <w:rPr>
                <w:rFonts w:cs="Times New Roman"/>
                <w:szCs w:val="26"/>
              </w:rPr>
              <w:t>Thực hiện Nghị định số 33/2023 ngày 10/6/2023 của Chính phủ, Sở Nội vụ đã tham mưu UBND tỉnh trình HĐND tỉnh ban hành</w:t>
            </w:r>
            <w:r w:rsidRPr="00484932">
              <w:rPr>
                <w:rFonts w:cs="Times New Roman"/>
                <w:i/>
                <w:szCs w:val="26"/>
              </w:rPr>
              <w:t xml:space="preserve"> </w:t>
            </w:r>
            <w:r w:rsidRPr="00484932">
              <w:rPr>
                <w:rFonts w:cs="Times New Roman"/>
                <w:szCs w:val="26"/>
              </w:rPr>
              <w:t>Nghị quyết số 120/2023/NQ-HĐND ngày 09/12/2023 quy định chức danh, mức phụ cấp và mức phụ cấp kiêm nhiệm người hoạt động không chuyên trách ở cấp xã, ở thôn, tổ dân phố; mức hỗ trợ và mức phụ cấp kiêm nhiệm người trực tiếp tham gia hoạt động ở thôn, tổ dân phố; kinh phí hoạt động của tổ chức chính trị - xã hội ở cấp xã, ở thôn, tổ dân phố trên địa bàn tỉnh Quảng Trị (thay thế Nghị quyết số 18/2020/NQ-HĐND</w:t>
            </w:r>
            <w:r w:rsidRPr="00484932">
              <w:rPr>
                <w:rFonts w:cs="Times New Roman"/>
                <w:i/>
                <w:szCs w:val="26"/>
              </w:rPr>
              <w:t xml:space="preserve"> </w:t>
            </w:r>
            <w:r w:rsidRPr="00484932">
              <w:rPr>
                <w:rFonts w:cs="Times New Roman"/>
                <w:szCs w:val="26"/>
              </w:rPr>
              <w:t xml:space="preserve">ngày 21/4/2020 của HĐND tỉnh), theo đó, tăng mức phụ cấp cho người hoạt </w:t>
            </w:r>
            <w:r w:rsidRPr="00484932">
              <w:rPr>
                <w:rFonts w:cs="Times New Roman"/>
                <w:szCs w:val="26"/>
              </w:rPr>
              <w:lastRenderedPageBreak/>
              <w:t xml:space="preserve">động không chuyên trách và tăng mức hỗ trợ người trực tiếp tham gia công việc của thôn, tổ dân phố; ngoài ra, tăng mức phụ cấp cho người hoạt động không chuyên trách ở thôn, tổ dân phố đã </w:t>
            </w:r>
            <w:r w:rsidRPr="00484932">
              <w:rPr>
                <w:rFonts w:cs="Times New Roman"/>
                <w:bCs/>
                <w:szCs w:val="26"/>
              </w:rPr>
              <w:t xml:space="preserve">sắp xếp, sáp nhập theo </w:t>
            </w:r>
            <w:r w:rsidRPr="00484932">
              <w:rPr>
                <w:rFonts w:cs="Times New Roman"/>
                <w:szCs w:val="26"/>
                <w:lang w:val="vi-VN"/>
              </w:rPr>
              <w:t>Nghị quyết số 21</w:t>
            </w:r>
            <w:r w:rsidRPr="00484932">
              <w:rPr>
                <w:rFonts w:cs="Times New Roman"/>
                <w:szCs w:val="26"/>
              </w:rPr>
              <w:t>/NQ-HĐND</w:t>
            </w:r>
            <w:r w:rsidRPr="00484932">
              <w:rPr>
                <w:rFonts w:cs="Times New Roman"/>
                <w:szCs w:val="26"/>
                <w:lang w:val="vi-VN"/>
              </w:rPr>
              <w:t xml:space="preserve"> ngày 20/7/2019 </w:t>
            </w:r>
            <w:r w:rsidRPr="00484932">
              <w:rPr>
                <w:rFonts w:cs="Times New Roman"/>
                <w:szCs w:val="26"/>
              </w:rPr>
              <w:t>của HĐND tỉnh.</w:t>
            </w:r>
          </w:p>
        </w:tc>
        <w:tc>
          <w:tcPr>
            <w:tcW w:w="0" w:type="auto"/>
          </w:tcPr>
          <w:p w:rsidR="00454696" w:rsidRPr="00484932" w:rsidRDefault="00454696" w:rsidP="00484932">
            <w:pPr>
              <w:spacing w:line="264" w:lineRule="auto"/>
              <w:rPr>
                <w:rFonts w:cs="Times New Roman"/>
                <w:szCs w:val="26"/>
              </w:rPr>
            </w:pPr>
          </w:p>
        </w:tc>
        <w:tc>
          <w:tcPr>
            <w:tcW w:w="0" w:type="auto"/>
          </w:tcPr>
          <w:p w:rsidR="00454696" w:rsidRPr="00484932" w:rsidRDefault="00454696" w:rsidP="00484932">
            <w:pPr>
              <w:spacing w:line="264" w:lineRule="auto"/>
              <w:rPr>
                <w:rFonts w:cs="Times New Roman"/>
                <w:szCs w:val="26"/>
              </w:rPr>
            </w:pPr>
          </w:p>
        </w:tc>
      </w:tr>
      <w:tr w:rsidR="00484932" w:rsidRPr="00484932" w:rsidTr="006E11D4">
        <w:tc>
          <w:tcPr>
            <w:tcW w:w="0" w:type="auto"/>
          </w:tcPr>
          <w:p w:rsidR="00454696" w:rsidRPr="00484932" w:rsidRDefault="00886785" w:rsidP="00484932">
            <w:pPr>
              <w:spacing w:line="264" w:lineRule="auto"/>
              <w:rPr>
                <w:rFonts w:cs="Times New Roman"/>
                <w:szCs w:val="26"/>
              </w:rPr>
            </w:pPr>
            <w:r w:rsidRPr="00484932">
              <w:rPr>
                <w:rFonts w:cs="Times New Roman"/>
                <w:szCs w:val="26"/>
              </w:rPr>
              <w:lastRenderedPageBreak/>
              <w:t>2</w:t>
            </w:r>
          </w:p>
        </w:tc>
        <w:tc>
          <w:tcPr>
            <w:tcW w:w="0" w:type="auto"/>
          </w:tcPr>
          <w:p w:rsidR="00454696" w:rsidRPr="00484932" w:rsidRDefault="00454696" w:rsidP="00484932">
            <w:pPr>
              <w:spacing w:line="264" w:lineRule="auto"/>
              <w:ind w:firstLine="318"/>
              <w:jc w:val="both"/>
              <w:rPr>
                <w:rFonts w:cs="Times New Roman"/>
                <w:szCs w:val="26"/>
              </w:rPr>
            </w:pPr>
            <w:r w:rsidRPr="00484932">
              <w:rPr>
                <w:rFonts w:cs="Times New Roman"/>
                <w:b/>
                <w:i/>
                <w:szCs w:val="26"/>
              </w:rPr>
              <w:t>Cử tri xã Triệu Sơn, huyện Triệu Phong kiến nghị:</w:t>
            </w:r>
            <w:r w:rsidRPr="00484932">
              <w:rPr>
                <w:rFonts w:cs="Times New Roman"/>
                <w:szCs w:val="26"/>
              </w:rPr>
              <w:t xml:space="preserve"> Việc giải quyết đất đai, địa giới hành chính giữa thôn Linh Chiểu xã Triệu Sơn và thôn Phú Hải, xã Hải Ba, huyện Hải Lăng. Bà con cử tri chưa đồng tình việc giải quyết theo Quyết định số 1550/QĐ-UBND ngày 18/6/2020 của UBND tỉnh Quảng Trị. Cử tri mong muốn và đề nghị UBND tỉnh căn cứ vào địa giới thực tế và ranh giới truyền thống giữa hai thôn để giải quyết cho Nhân dân yên tâm sinh sống và sản xuất.</w:t>
            </w:r>
          </w:p>
        </w:tc>
        <w:tc>
          <w:tcPr>
            <w:tcW w:w="0" w:type="auto"/>
          </w:tcPr>
          <w:p w:rsidR="00AC104D" w:rsidRPr="00484932" w:rsidRDefault="00AC104D" w:rsidP="00484932">
            <w:pPr>
              <w:pBdr>
                <w:top w:val="dotted" w:sz="4" w:space="0" w:color="FFFFFF"/>
                <w:left w:val="dotted" w:sz="4" w:space="0" w:color="FFFFFF"/>
                <w:bottom w:val="dotted" w:sz="4" w:space="16" w:color="FFFFFF"/>
                <w:right w:val="dotted" w:sz="4" w:space="0" w:color="FFFFFF"/>
              </w:pBdr>
              <w:shd w:val="clear" w:color="auto" w:fill="FFFFFF"/>
              <w:spacing w:line="264" w:lineRule="auto"/>
              <w:ind w:firstLine="318"/>
              <w:jc w:val="both"/>
              <w:rPr>
                <w:rFonts w:cs="Times New Roman"/>
                <w:spacing w:val="-2"/>
                <w:szCs w:val="26"/>
              </w:rPr>
            </w:pPr>
            <w:r w:rsidRPr="00484932">
              <w:rPr>
                <w:rFonts w:cs="Times New Roman"/>
                <w:szCs w:val="26"/>
              </w:rPr>
              <w:t xml:space="preserve">- Tuyến ĐGHC chưa thống nhất giữa xã Triệu Sơn, huyện Triệu Phong và xã Hải Ba, huyện Hải Lăng đã được UBND tỉnh, Sở Nội vụ và Sở Tài nguyên và Môi trường phối hợp với UBND huyện Hải Lăng, UBND huyện Triệu Phong cùng với UBND 2 xã Triệu Sơn, Hải Ba nhiều lần tổ chức hiệp thương, đi khảo sát thực địa để giải quyết, nhưng các bên vẫn chưa thống nhất. Để giải quyết tuyến địa giới hành chính nói trên, đảm bảo tiến độ thực hiện Dự án 513, </w:t>
            </w:r>
            <w:r w:rsidRPr="00484932">
              <w:rPr>
                <w:rFonts w:cs="Times New Roman"/>
                <w:spacing w:val="2"/>
                <w:szCs w:val="26"/>
                <w:lang w:val="sv-SE"/>
              </w:rPr>
              <w:t>ngày 18/6/2020</w:t>
            </w:r>
            <w:r w:rsidR="00266975" w:rsidRPr="00484932">
              <w:rPr>
                <w:rFonts w:cs="Times New Roman"/>
                <w:spacing w:val="2"/>
                <w:szCs w:val="26"/>
                <w:lang w:val="sv-SE"/>
              </w:rPr>
              <w:t>,</w:t>
            </w:r>
            <w:r w:rsidRPr="00484932">
              <w:rPr>
                <w:rFonts w:cs="Times New Roman"/>
                <w:b/>
                <w:spacing w:val="2"/>
                <w:szCs w:val="26"/>
                <w:lang w:val="sv-SE"/>
              </w:rPr>
              <w:t xml:space="preserve"> </w:t>
            </w:r>
            <w:r w:rsidRPr="00484932">
              <w:rPr>
                <w:rFonts w:cs="Times New Roman"/>
                <w:spacing w:val="-2"/>
                <w:szCs w:val="26"/>
                <w:lang w:val="sv-SE"/>
              </w:rPr>
              <w:t xml:space="preserve">UBND tỉnh ban hành Quyết định số 1550/QĐ-UBND </w:t>
            </w:r>
            <w:r w:rsidRPr="00484932">
              <w:rPr>
                <w:rFonts w:cs="Times New Roman"/>
                <w:spacing w:val="-2"/>
                <w:szCs w:val="26"/>
              </w:rPr>
              <w:t>về việc xác định đường địa giới hành chính giữa xã Hải Ba, huyện Hải Lăng và xã Triệu Sơn, huyện Triệu Phong.</w:t>
            </w:r>
          </w:p>
          <w:p w:rsidR="00454696" w:rsidRPr="00484932" w:rsidRDefault="00AC104D" w:rsidP="00484932">
            <w:pPr>
              <w:pBdr>
                <w:top w:val="dotted" w:sz="4" w:space="0" w:color="FFFFFF"/>
                <w:left w:val="dotted" w:sz="4" w:space="0" w:color="FFFFFF"/>
                <w:bottom w:val="dotted" w:sz="4" w:space="16" w:color="FFFFFF"/>
                <w:right w:val="dotted" w:sz="4" w:space="0" w:color="FFFFFF"/>
              </w:pBdr>
              <w:shd w:val="clear" w:color="auto" w:fill="FFFFFF"/>
              <w:spacing w:line="264" w:lineRule="auto"/>
              <w:ind w:firstLine="318"/>
              <w:jc w:val="both"/>
              <w:rPr>
                <w:rFonts w:cs="Times New Roman"/>
                <w:spacing w:val="-6"/>
                <w:szCs w:val="26"/>
              </w:rPr>
            </w:pPr>
            <w:r w:rsidRPr="00484932">
              <w:rPr>
                <w:rFonts w:cs="Times New Roman"/>
                <w:szCs w:val="26"/>
              </w:rPr>
              <w:t xml:space="preserve">- Đến nay, UBND huyện Triệu Phong, xã Triệu Sơn và các cơ quan có liên quan đã ký hồ sơ, bản đồ ĐGHC theo tinh thần chỉ đạo của UBND tỉnh tại Công văn số 5810/UBND – NC ngày 06/11/2023. </w:t>
            </w:r>
            <w:r w:rsidRPr="00484932">
              <w:rPr>
                <w:rFonts w:cs="Times New Roman"/>
                <w:szCs w:val="26"/>
              </w:rPr>
              <w:lastRenderedPageBreak/>
              <w:t>(Báo cáo số 443/BC-UBND ngày 13/11/2023 của UBND huyện Triệu Phong).</w:t>
            </w:r>
          </w:p>
        </w:tc>
        <w:tc>
          <w:tcPr>
            <w:tcW w:w="0" w:type="auto"/>
          </w:tcPr>
          <w:p w:rsidR="00454696" w:rsidRPr="00484932" w:rsidRDefault="00454696" w:rsidP="00484932">
            <w:pPr>
              <w:spacing w:line="264" w:lineRule="auto"/>
              <w:rPr>
                <w:rFonts w:cs="Times New Roman"/>
                <w:szCs w:val="26"/>
              </w:rPr>
            </w:pPr>
          </w:p>
        </w:tc>
        <w:tc>
          <w:tcPr>
            <w:tcW w:w="0" w:type="auto"/>
          </w:tcPr>
          <w:p w:rsidR="00454696" w:rsidRPr="00484932" w:rsidRDefault="00454696" w:rsidP="00484932">
            <w:pPr>
              <w:spacing w:line="264" w:lineRule="auto"/>
              <w:rPr>
                <w:rFonts w:cs="Times New Roman"/>
                <w:szCs w:val="26"/>
              </w:rPr>
            </w:pPr>
          </w:p>
        </w:tc>
      </w:tr>
      <w:tr w:rsidR="00484932" w:rsidRPr="00484932" w:rsidTr="006E11D4">
        <w:tc>
          <w:tcPr>
            <w:tcW w:w="0" w:type="auto"/>
          </w:tcPr>
          <w:p w:rsidR="00454696" w:rsidRPr="00484932" w:rsidRDefault="00886785" w:rsidP="00484932">
            <w:pPr>
              <w:spacing w:line="264" w:lineRule="auto"/>
              <w:rPr>
                <w:rFonts w:cs="Times New Roman"/>
                <w:szCs w:val="26"/>
              </w:rPr>
            </w:pPr>
            <w:r w:rsidRPr="00484932">
              <w:rPr>
                <w:rFonts w:cs="Times New Roman"/>
                <w:szCs w:val="26"/>
              </w:rPr>
              <w:lastRenderedPageBreak/>
              <w:t>3</w:t>
            </w:r>
          </w:p>
        </w:tc>
        <w:tc>
          <w:tcPr>
            <w:tcW w:w="0" w:type="auto"/>
          </w:tcPr>
          <w:p w:rsidR="00454696" w:rsidRPr="00484932" w:rsidRDefault="00454696" w:rsidP="00484932">
            <w:pPr>
              <w:pStyle w:val="BodyText2"/>
              <w:spacing w:line="264" w:lineRule="auto"/>
              <w:ind w:firstLine="318"/>
              <w:jc w:val="both"/>
              <w:rPr>
                <w:b w:val="0"/>
                <w:sz w:val="26"/>
                <w:szCs w:val="26"/>
              </w:rPr>
            </w:pPr>
            <w:r w:rsidRPr="00484932">
              <w:rPr>
                <w:i/>
                <w:sz w:val="26"/>
                <w:szCs w:val="26"/>
              </w:rPr>
              <w:t>Cử tri xã Vĩnh Lâm (Vĩnh Linh) kiến nghị:</w:t>
            </w:r>
            <w:r w:rsidRPr="00484932">
              <w:rPr>
                <w:b w:val="0"/>
                <w:sz w:val="26"/>
                <w:szCs w:val="26"/>
              </w:rPr>
              <w:t xml:space="preserve"> HĐND, UBND tỉnh sớm quan tâm cho đối tượng người hoạt động không chuyên trách xã, thôn, tổ dân phố tại khoản 3, 4, 5 điều 34, Nghị định số 33/2023/NĐ-CP ngày 10/6/2023 về chế độ phụ cấp và chức danh kiêm nhiệm theo đúng quy định.</w:t>
            </w:r>
          </w:p>
        </w:tc>
        <w:tc>
          <w:tcPr>
            <w:tcW w:w="0" w:type="auto"/>
          </w:tcPr>
          <w:p w:rsidR="00454696" w:rsidRPr="00484932" w:rsidRDefault="008339F9" w:rsidP="00484932">
            <w:pPr>
              <w:pStyle w:val="BodyText2"/>
              <w:spacing w:line="264" w:lineRule="auto"/>
              <w:ind w:firstLine="318"/>
              <w:jc w:val="both"/>
              <w:rPr>
                <w:b w:val="0"/>
                <w:sz w:val="26"/>
                <w:szCs w:val="26"/>
              </w:rPr>
            </w:pPr>
            <w:r w:rsidRPr="00484932">
              <w:rPr>
                <w:b w:val="0"/>
                <w:sz w:val="26"/>
                <w:szCs w:val="26"/>
              </w:rPr>
              <w:t>Theo Nghị quyết số 120/2023/NQ-HĐND ngày 09/12/2023 của HĐND tỉnh quy định chức danh, mức phụ cấp và mức phụ cấp kiêm nhiệm người hoạt động không chuyên trách ở cấp xã, ở thôn, tổ dân phố; mức hỗ trợ và mức phụ cấp kiêm nhiệm người trực tiếp tham gia hoạt động ở thôn, tổ dân phố; kinh phí hoạt động của tổ chức chính trị - xã hội ở cấp xã, ở thôn, tổ dân phố trên địa bàn tỉnh Quảng Trị (thay thế Nghị quyết số 18/2020/NQ-HĐND</w:t>
            </w:r>
            <w:r w:rsidRPr="00484932">
              <w:rPr>
                <w:b w:val="0"/>
                <w:i/>
                <w:sz w:val="26"/>
                <w:szCs w:val="26"/>
              </w:rPr>
              <w:t xml:space="preserve"> </w:t>
            </w:r>
            <w:r w:rsidRPr="00484932">
              <w:rPr>
                <w:b w:val="0"/>
                <w:sz w:val="26"/>
                <w:szCs w:val="26"/>
              </w:rPr>
              <w:t>ngày 21/4/2020 của HĐND tỉnh), theo đó có quy định cụ thể các nội dung quy định tại khoản 3, 4, 5 điều 34 Nghị định số 33/2023/NĐ-CP ngày 10/6/2023 theo kiến nghị của cử tri.</w:t>
            </w:r>
          </w:p>
        </w:tc>
        <w:tc>
          <w:tcPr>
            <w:tcW w:w="0" w:type="auto"/>
          </w:tcPr>
          <w:p w:rsidR="00454696" w:rsidRPr="00484932" w:rsidRDefault="00454696" w:rsidP="00484932">
            <w:pPr>
              <w:spacing w:line="264" w:lineRule="auto"/>
              <w:rPr>
                <w:rFonts w:cs="Times New Roman"/>
                <w:szCs w:val="26"/>
              </w:rPr>
            </w:pPr>
          </w:p>
        </w:tc>
        <w:tc>
          <w:tcPr>
            <w:tcW w:w="0" w:type="auto"/>
          </w:tcPr>
          <w:p w:rsidR="00454696" w:rsidRPr="00484932" w:rsidRDefault="00454696" w:rsidP="00484932">
            <w:pPr>
              <w:spacing w:line="264" w:lineRule="auto"/>
              <w:rPr>
                <w:rFonts w:cs="Times New Roman"/>
                <w:szCs w:val="26"/>
              </w:rPr>
            </w:pPr>
          </w:p>
        </w:tc>
      </w:tr>
      <w:tr w:rsidR="00484932" w:rsidRPr="00484932" w:rsidTr="006E11D4">
        <w:tc>
          <w:tcPr>
            <w:tcW w:w="0" w:type="auto"/>
            <w:vAlign w:val="center"/>
          </w:tcPr>
          <w:p w:rsidR="00454696" w:rsidRPr="00484932" w:rsidRDefault="00454696" w:rsidP="00484932">
            <w:pPr>
              <w:spacing w:line="264" w:lineRule="auto"/>
              <w:rPr>
                <w:rFonts w:cs="Times New Roman"/>
                <w:b/>
                <w:szCs w:val="26"/>
              </w:rPr>
            </w:pPr>
            <w:r w:rsidRPr="00484932">
              <w:rPr>
                <w:rFonts w:cs="Times New Roman"/>
                <w:b/>
                <w:szCs w:val="26"/>
              </w:rPr>
              <w:t>B</w:t>
            </w:r>
          </w:p>
        </w:tc>
        <w:tc>
          <w:tcPr>
            <w:tcW w:w="0" w:type="auto"/>
            <w:gridSpan w:val="3"/>
            <w:vAlign w:val="center"/>
          </w:tcPr>
          <w:p w:rsidR="00454696" w:rsidRPr="00484932" w:rsidRDefault="00454696" w:rsidP="00484932">
            <w:pPr>
              <w:spacing w:line="264" w:lineRule="auto"/>
              <w:rPr>
                <w:rFonts w:cs="Times New Roman"/>
                <w:b/>
                <w:szCs w:val="26"/>
              </w:rPr>
            </w:pPr>
            <w:r w:rsidRPr="00484932">
              <w:rPr>
                <w:rFonts w:cs="Times New Roman"/>
                <w:b/>
                <w:szCs w:val="26"/>
              </w:rPr>
              <w:t>Kiến nghị cử tri gửi đến Kỳ họp thứ 21 HĐND tỉnh</w:t>
            </w:r>
          </w:p>
        </w:tc>
        <w:tc>
          <w:tcPr>
            <w:tcW w:w="0" w:type="auto"/>
          </w:tcPr>
          <w:p w:rsidR="00454696" w:rsidRPr="00484932" w:rsidRDefault="00454696" w:rsidP="00484932">
            <w:pPr>
              <w:spacing w:line="264" w:lineRule="auto"/>
              <w:rPr>
                <w:rFonts w:cs="Times New Roman"/>
                <w:i/>
                <w:szCs w:val="26"/>
              </w:rPr>
            </w:pPr>
            <w:r w:rsidRPr="00484932">
              <w:rPr>
                <w:rFonts w:cs="Times New Roman"/>
                <w:i/>
                <w:szCs w:val="26"/>
              </w:rPr>
              <w:t>Nêu tại Báo cáo số 388/BC-HĐND</w:t>
            </w:r>
          </w:p>
        </w:tc>
      </w:tr>
      <w:tr w:rsidR="00484932" w:rsidRPr="00484932" w:rsidTr="006E11D4">
        <w:tc>
          <w:tcPr>
            <w:tcW w:w="0" w:type="auto"/>
          </w:tcPr>
          <w:p w:rsidR="00454696" w:rsidRPr="00484932" w:rsidRDefault="00886785" w:rsidP="00484932">
            <w:pPr>
              <w:spacing w:line="264" w:lineRule="auto"/>
              <w:rPr>
                <w:rFonts w:cs="Times New Roman"/>
                <w:szCs w:val="26"/>
              </w:rPr>
            </w:pPr>
            <w:r w:rsidRPr="00484932">
              <w:rPr>
                <w:rFonts w:cs="Times New Roman"/>
                <w:szCs w:val="26"/>
              </w:rPr>
              <w:t>1</w:t>
            </w:r>
          </w:p>
        </w:tc>
        <w:tc>
          <w:tcPr>
            <w:tcW w:w="0" w:type="auto"/>
          </w:tcPr>
          <w:p w:rsidR="00454696" w:rsidRPr="00484932" w:rsidRDefault="00454696" w:rsidP="00484932">
            <w:pPr>
              <w:pStyle w:val="NormalWeb"/>
              <w:widowControl w:val="0"/>
              <w:pBdr>
                <w:top w:val="dotted" w:sz="4" w:space="0" w:color="FFFFFF"/>
                <w:left w:val="dotted" w:sz="4" w:space="0" w:color="FFFFFF"/>
                <w:bottom w:val="dotted" w:sz="4" w:space="31" w:color="FFFFFF"/>
                <w:right w:val="dotted" w:sz="4" w:space="0" w:color="FFFFFF"/>
              </w:pBdr>
              <w:shd w:val="clear" w:color="auto" w:fill="FFFFFF"/>
              <w:tabs>
                <w:tab w:val="left" w:pos="993"/>
              </w:tabs>
              <w:spacing w:before="0" w:beforeAutospacing="0" w:after="0" w:afterAutospacing="0" w:line="264" w:lineRule="auto"/>
              <w:ind w:firstLine="318"/>
              <w:jc w:val="both"/>
              <w:rPr>
                <w:sz w:val="26"/>
                <w:szCs w:val="26"/>
              </w:rPr>
            </w:pPr>
            <w:r w:rsidRPr="00484932">
              <w:rPr>
                <w:b/>
                <w:i/>
                <w:sz w:val="26"/>
                <w:szCs w:val="26"/>
              </w:rPr>
              <w:t>Cử tri nhiều xã huyện Triệu Phong, Hướng Hóa, Vĩnh Linh kiến nghị:</w:t>
            </w:r>
            <w:r w:rsidRPr="00484932">
              <w:rPr>
                <w:sz w:val="26"/>
                <w:szCs w:val="26"/>
              </w:rPr>
              <w:t xml:space="preserve"> HĐND tỉnh quan tâm xem xét tăng kinh phí hoạt động đối với các tổ </w:t>
            </w:r>
            <w:r w:rsidRPr="00484932">
              <w:rPr>
                <w:sz w:val="26"/>
                <w:szCs w:val="26"/>
              </w:rPr>
              <w:lastRenderedPageBreak/>
              <w:t>chức chính trị - xã hội cấp xã từ mức 15 triệu đồng lên mức 20 triệu đồng/năm/tổ chức mới đáp ứng được nhiệm vụ chính trị trong giai đoạn hiện nay.</w:t>
            </w:r>
          </w:p>
          <w:p w:rsidR="00454696" w:rsidRPr="00484932" w:rsidRDefault="00454696" w:rsidP="00484932">
            <w:pPr>
              <w:pStyle w:val="NormalWeb"/>
              <w:widowControl w:val="0"/>
              <w:pBdr>
                <w:top w:val="dotted" w:sz="4" w:space="0" w:color="FFFFFF"/>
                <w:left w:val="dotted" w:sz="4" w:space="0" w:color="FFFFFF"/>
                <w:bottom w:val="dotted" w:sz="4" w:space="31" w:color="FFFFFF"/>
                <w:right w:val="dotted" w:sz="4" w:space="0" w:color="FFFFFF"/>
              </w:pBdr>
              <w:shd w:val="clear" w:color="auto" w:fill="FFFFFF"/>
              <w:tabs>
                <w:tab w:val="left" w:pos="993"/>
              </w:tabs>
              <w:spacing w:before="0" w:beforeAutospacing="0" w:after="0" w:afterAutospacing="0" w:line="264" w:lineRule="auto"/>
              <w:ind w:firstLine="318"/>
              <w:jc w:val="both"/>
              <w:rPr>
                <w:sz w:val="26"/>
                <w:szCs w:val="26"/>
              </w:rPr>
            </w:pPr>
            <w:r w:rsidRPr="00484932">
              <w:rPr>
                <w:sz w:val="26"/>
                <w:szCs w:val="26"/>
              </w:rPr>
              <w:t xml:space="preserve">Chi bộ và Trưởng thôn ở khu dân cư chưa được hỗ trợ kinh phí hàng năm nên rất khó khăn trong hoạt động. Cử tri kiến nghị HĐND tỉnh quan tâm, có chủ trương hỗ trợ kinh phí hàng năm cho chi bộ và Trưởng thôn để thuận lợi trong hoạt động lãnh đạo và điều hành công việc ở thôn, khu dân cư. </w:t>
            </w:r>
          </w:p>
        </w:tc>
        <w:tc>
          <w:tcPr>
            <w:tcW w:w="0" w:type="auto"/>
          </w:tcPr>
          <w:p w:rsidR="00F44BD0" w:rsidRPr="00484932" w:rsidRDefault="00F44BD0" w:rsidP="00484932">
            <w:pPr>
              <w:pStyle w:val="ListParagraph"/>
              <w:numPr>
                <w:ilvl w:val="0"/>
                <w:numId w:val="1"/>
              </w:numPr>
              <w:tabs>
                <w:tab w:val="left" w:pos="601"/>
              </w:tabs>
              <w:spacing w:line="264" w:lineRule="auto"/>
              <w:ind w:left="34" w:firstLine="284"/>
              <w:contextualSpacing w:val="0"/>
              <w:jc w:val="both"/>
              <w:rPr>
                <w:rFonts w:cs="Times New Roman"/>
                <w:bCs/>
                <w:szCs w:val="26"/>
                <w:lang w:val="nl-NL"/>
              </w:rPr>
            </w:pPr>
            <w:r w:rsidRPr="00484932">
              <w:rPr>
                <w:rFonts w:cs="Times New Roman"/>
                <w:szCs w:val="26"/>
              </w:rPr>
              <w:lastRenderedPageBreak/>
              <w:t>Kinh phí hoạt động của các tổ chức CT-XH cấp xã được khoán theo quy định tại Nghị quyết số 18/2020/NQ-HĐND 12 triệu đồng/tổ chức/năm,</w:t>
            </w:r>
            <w:r w:rsidRPr="00484932">
              <w:rPr>
                <w:rFonts w:cs="Times New Roman"/>
                <w:bCs/>
                <w:szCs w:val="26"/>
              </w:rPr>
              <w:t xml:space="preserve"> </w:t>
            </w:r>
            <w:r w:rsidRPr="00484932">
              <w:rPr>
                <w:rFonts w:cs="Times New Roman"/>
                <w:bCs/>
                <w:szCs w:val="26"/>
              </w:rPr>
              <w:lastRenderedPageBreak/>
              <w:t>theo Nghị quyết số 83/NQ-HĐND ngày 09/12/2022 của HĐND tỉnh về phân bổ ngân sách địa phương năm 2023 hỗ trợ tăng kinh phí hoạt động</w:t>
            </w:r>
            <w:r w:rsidRPr="00484932">
              <w:rPr>
                <w:rFonts w:cs="Times New Roman"/>
                <w:bCs/>
                <w:szCs w:val="26"/>
                <w:lang w:val="nl-NL"/>
              </w:rPr>
              <w:t xml:space="preserve"> </w:t>
            </w:r>
            <w:r w:rsidRPr="00484932">
              <w:rPr>
                <w:rFonts w:cs="Times New Roman"/>
                <w:bCs/>
                <w:szCs w:val="26"/>
              </w:rPr>
              <w:t xml:space="preserve">đối với các tổ chức CT-XH ở xã, phường, thị trấn với mức 3.000.000 đồng/tổ chức/năm. </w:t>
            </w:r>
            <w:r w:rsidRPr="00484932">
              <w:rPr>
                <w:rFonts w:cs="Times New Roman"/>
                <w:bCs/>
                <w:szCs w:val="26"/>
                <w:lang w:val="nl-NL"/>
              </w:rPr>
              <w:t xml:space="preserve">Hiện nay, HĐND tỉnh thông qua </w:t>
            </w:r>
            <w:r w:rsidRPr="00484932">
              <w:rPr>
                <w:szCs w:val="26"/>
                <w:lang w:val="nl-NL" w:eastAsia="vi-VN"/>
              </w:rPr>
              <w:t>Nghị quyết số 120/2023/NQ-HĐND ngày 07/12/2023 của HĐND tỉnh</w:t>
            </w:r>
            <w:r w:rsidRPr="00484932">
              <w:rPr>
                <w:rFonts w:cs="Times New Roman"/>
                <w:bCs/>
                <w:szCs w:val="26"/>
                <w:lang w:val="nl-NL"/>
              </w:rPr>
              <w:t xml:space="preserve"> theo đó mức khoán kinh phí hoạt động đối với các tổ chức CT-XH ở cấp xã là 15 triệu đồng/tổ chức/năm, tăng thêm 3 triệu đồng/tổ chức/năm so với Nghị quyết số 18/2020/NQ-HĐND; mức hỗ trợ kinh phí hoạt động cho các tổ chức CT-XH ở thôn, tổ dân phố tăng từ 2 triệu đồng/tổ chức/năm lên 2,5 triệu đồng/tổ chức/năm (đối với thôn đặc biệt khó khăn), tăng từ 1,5 triệu đồng/tổ chức/năm lên 2 triệu đồng/ tổ chức/năm.</w:t>
            </w:r>
          </w:p>
          <w:p w:rsidR="00F44BD0" w:rsidRPr="00484932" w:rsidRDefault="00F44BD0" w:rsidP="00484932">
            <w:pPr>
              <w:spacing w:line="264" w:lineRule="auto"/>
              <w:ind w:firstLine="318"/>
              <w:jc w:val="both"/>
              <w:rPr>
                <w:rFonts w:cs="Times New Roman"/>
                <w:bCs/>
                <w:strike/>
                <w:szCs w:val="26"/>
              </w:rPr>
            </w:pPr>
            <w:r w:rsidRPr="00484932">
              <w:rPr>
                <w:rFonts w:cs="Times New Roman"/>
                <w:bCs/>
                <w:szCs w:val="26"/>
                <w:lang w:val="nl-NL"/>
              </w:rPr>
              <w:t>Trong điều kiện ngân sách khó khăn, việc tính toán tăng thêm mức khoán kinh phí hoạt động đối với các tổ chức CT-XH ở cấp xã và hỗ trợ kinh phí hoạt động đối với các tổ chức CT-XH ở thôn, tổ dân phố như trên là phù hợp với khả năng ngân sách của địa phương.</w:t>
            </w:r>
          </w:p>
          <w:p w:rsidR="00454696" w:rsidRPr="00484932" w:rsidRDefault="00F44BD0" w:rsidP="00484932">
            <w:pPr>
              <w:pStyle w:val="ListParagraph"/>
              <w:numPr>
                <w:ilvl w:val="0"/>
                <w:numId w:val="1"/>
              </w:numPr>
              <w:tabs>
                <w:tab w:val="left" w:pos="601"/>
              </w:tabs>
              <w:spacing w:line="264" w:lineRule="auto"/>
              <w:ind w:left="34" w:firstLine="284"/>
              <w:contextualSpacing w:val="0"/>
              <w:jc w:val="both"/>
              <w:rPr>
                <w:rFonts w:cs="Times New Roman"/>
                <w:szCs w:val="26"/>
              </w:rPr>
            </w:pPr>
            <w:r w:rsidRPr="00484932">
              <w:rPr>
                <w:rFonts w:cs="Times New Roman"/>
                <w:szCs w:val="26"/>
              </w:rPr>
              <w:lastRenderedPageBreak/>
              <w:t>Hiện nay chưa có quy định của pháp luật về hỗ trợ kinh phí hàng năm cho chi bộ và Trưởng thôn, vì vậy Sở Nội vụ chưa có cơ sở để tham mưu UBND tỉnh trình HĐND tỉnh hỗ trợ Chi bộ và Trưởng thôn.</w:t>
            </w:r>
          </w:p>
        </w:tc>
        <w:tc>
          <w:tcPr>
            <w:tcW w:w="0" w:type="auto"/>
          </w:tcPr>
          <w:p w:rsidR="00454696" w:rsidRPr="00484932" w:rsidRDefault="00454696" w:rsidP="00484932">
            <w:pPr>
              <w:spacing w:line="264" w:lineRule="auto"/>
              <w:rPr>
                <w:rFonts w:cs="Times New Roman"/>
                <w:szCs w:val="26"/>
              </w:rPr>
            </w:pPr>
          </w:p>
        </w:tc>
        <w:tc>
          <w:tcPr>
            <w:tcW w:w="0" w:type="auto"/>
          </w:tcPr>
          <w:p w:rsidR="00454696" w:rsidRPr="00484932" w:rsidRDefault="00454696" w:rsidP="00484932">
            <w:pPr>
              <w:spacing w:line="264" w:lineRule="auto"/>
              <w:rPr>
                <w:rFonts w:cs="Times New Roman"/>
                <w:szCs w:val="26"/>
              </w:rPr>
            </w:pPr>
          </w:p>
        </w:tc>
      </w:tr>
      <w:tr w:rsidR="00484932" w:rsidRPr="00484932" w:rsidTr="006E11D4">
        <w:tc>
          <w:tcPr>
            <w:tcW w:w="0" w:type="auto"/>
          </w:tcPr>
          <w:p w:rsidR="002024FB" w:rsidRPr="00484932" w:rsidRDefault="004A7B99" w:rsidP="00484932">
            <w:pPr>
              <w:spacing w:line="264" w:lineRule="auto"/>
              <w:rPr>
                <w:rFonts w:cs="Times New Roman"/>
                <w:szCs w:val="26"/>
              </w:rPr>
            </w:pPr>
            <w:r w:rsidRPr="00484932">
              <w:rPr>
                <w:rFonts w:cs="Times New Roman"/>
                <w:szCs w:val="26"/>
              </w:rPr>
              <w:lastRenderedPageBreak/>
              <w:t>2</w:t>
            </w:r>
          </w:p>
        </w:tc>
        <w:tc>
          <w:tcPr>
            <w:tcW w:w="0" w:type="auto"/>
          </w:tcPr>
          <w:p w:rsidR="002024FB" w:rsidRPr="00484932" w:rsidRDefault="002024FB" w:rsidP="00484932">
            <w:pPr>
              <w:pStyle w:val="NormalWeb"/>
              <w:widowControl w:val="0"/>
              <w:pBdr>
                <w:top w:val="dotted" w:sz="4" w:space="0" w:color="FFFFFF"/>
                <w:left w:val="dotted" w:sz="4" w:space="0" w:color="FFFFFF"/>
                <w:bottom w:val="dotted" w:sz="4" w:space="8" w:color="FFFFFF"/>
                <w:right w:val="dotted" w:sz="4" w:space="0" w:color="FFFFFF"/>
              </w:pBdr>
              <w:shd w:val="clear" w:color="auto" w:fill="FFFFFF"/>
              <w:tabs>
                <w:tab w:val="left" w:pos="851"/>
              </w:tabs>
              <w:spacing w:before="0" w:beforeAutospacing="0" w:after="0" w:afterAutospacing="0" w:line="264" w:lineRule="auto"/>
              <w:ind w:firstLine="318"/>
              <w:jc w:val="both"/>
              <w:rPr>
                <w:sz w:val="26"/>
                <w:szCs w:val="26"/>
              </w:rPr>
            </w:pPr>
            <w:r w:rsidRPr="00484932">
              <w:rPr>
                <w:b/>
                <w:i/>
                <w:sz w:val="26"/>
                <w:szCs w:val="26"/>
              </w:rPr>
              <w:t xml:space="preserve">Cử tri xã Xy (Hướng Hóa) kiến nghị: </w:t>
            </w:r>
            <w:r w:rsidRPr="00484932">
              <w:rPr>
                <w:sz w:val="26"/>
                <w:szCs w:val="26"/>
              </w:rPr>
              <w:t>Hiện nay, cán bộ, công chức, viên chức đang công tác tại xã Xy chỉ được hưởng phụ cấp khu vực biên giới ở mức 30%; đề nghị UBND tỉnh, đề xuất các bộ, ngành Trung ương quan tâm xem xét cho xã Xy được hưởng hưởng phụ cấp khu vực biên giới 50%.</w:t>
            </w:r>
          </w:p>
        </w:tc>
        <w:tc>
          <w:tcPr>
            <w:tcW w:w="0" w:type="auto"/>
          </w:tcPr>
          <w:p w:rsidR="002024FB" w:rsidRPr="00484932" w:rsidRDefault="002024FB" w:rsidP="00484932">
            <w:pPr>
              <w:pStyle w:val="NormalWeb"/>
              <w:widowControl w:val="0"/>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264" w:lineRule="auto"/>
              <w:ind w:firstLine="318"/>
              <w:jc w:val="both"/>
              <w:rPr>
                <w:i/>
                <w:sz w:val="26"/>
                <w:szCs w:val="26"/>
              </w:rPr>
            </w:pPr>
            <w:r w:rsidRPr="00484932">
              <w:rPr>
                <w:sz w:val="26"/>
                <w:szCs w:val="26"/>
              </w:rPr>
              <w:t xml:space="preserve">Căn cứ Thông tư số 09/2005/TT-BNV ngày 05/01/2005 của Bộ Nội vụ hướng dẫn thực hiện chế độ phụ cấp đặc biệt đối với cán bộ, công chức, viên chức và lực lượng vũ trang; xét đề nghị của UBND huyện Hướng Hóa, Sở Nội vụ đã tham mưu UBND tỉnh ban hành Công văn số 5562/UBND-NC ngày 03/11/2017 về việc đề nghị bổ sung và điều chỉnh chế độ phụ cấp đặc biệt đối với một số xã biên giới có điều kiện sinh hoạt đặc biệt khó khăn, trong đó đề nghị Bộ Nội vụ xem xét: </w:t>
            </w:r>
            <w:r w:rsidRPr="00484932">
              <w:rPr>
                <w:i/>
                <w:sz w:val="26"/>
                <w:szCs w:val="26"/>
              </w:rPr>
              <w:t>Điều chỉnh mức phụ cấp đặc biệt từ 30% lên 50% đối với các xã: Xy, Thuận, Hướng Việt huyện Hướng Hóa.</w:t>
            </w:r>
          </w:p>
          <w:p w:rsidR="002024FB" w:rsidRPr="00484932" w:rsidRDefault="002024FB" w:rsidP="00484932">
            <w:pPr>
              <w:pStyle w:val="NormalWeb"/>
              <w:widowControl w:val="0"/>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264" w:lineRule="auto"/>
              <w:ind w:firstLine="318"/>
              <w:jc w:val="both"/>
              <w:rPr>
                <w:sz w:val="26"/>
                <w:szCs w:val="26"/>
              </w:rPr>
            </w:pPr>
            <w:r w:rsidRPr="00484932">
              <w:rPr>
                <w:sz w:val="26"/>
                <w:szCs w:val="26"/>
              </w:rPr>
              <w:t xml:space="preserve">Trả lời đề nghị trên, Bộ Nội vụ ban hành Công văn số 3259/BNV-TL ngày 13/7/2018  về việc chế độ phụ cấp đặc biệt, theo đó: </w:t>
            </w:r>
            <w:r w:rsidRPr="00484932">
              <w:rPr>
                <w:i/>
                <w:sz w:val="26"/>
                <w:szCs w:val="26"/>
              </w:rPr>
              <w:t>Giữ nguyên phụ cấp đặc biệt mức 30% đối với các xã: Xy, Thuận, Hướng Việt huyện Hướng Hóa</w:t>
            </w:r>
            <w:r w:rsidRPr="00484932">
              <w:rPr>
                <w:sz w:val="26"/>
                <w:szCs w:val="26"/>
              </w:rPr>
              <w:t xml:space="preserve">. </w:t>
            </w:r>
          </w:p>
          <w:p w:rsidR="002024FB" w:rsidRPr="00484932" w:rsidRDefault="002024FB" w:rsidP="00484932">
            <w:pPr>
              <w:pStyle w:val="NormalWeb"/>
              <w:widowControl w:val="0"/>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264" w:lineRule="auto"/>
              <w:ind w:firstLine="318"/>
              <w:jc w:val="both"/>
              <w:rPr>
                <w:sz w:val="26"/>
                <w:szCs w:val="26"/>
              </w:rPr>
            </w:pPr>
            <w:r w:rsidRPr="00484932">
              <w:rPr>
                <w:sz w:val="26"/>
                <w:szCs w:val="26"/>
              </w:rPr>
              <w:t xml:space="preserve">Do vậy, thời điểm hiện tại cán bộ, công chức, </w:t>
            </w:r>
            <w:r w:rsidRPr="00484932">
              <w:rPr>
                <w:sz w:val="26"/>
                <w:szCs w:val="26"/>
              </w:rPr>
              <w:lastRenderedPageBreak/>
              <w:t>viên chức</w:t>
            </w:r>
            <w:r w:rsidRPr="00484932">
              <w:rPr>
                <w:b/>
                <w:sz w:val="26"/>
                <w:szCs w:val="26"/>
              </w:rPr>
              <w:t xml:space="preserve"> </w:t>
            </w:r>
            <w:r w:rsidRPr="00484932">
              <w:rPr>
                <w:sz w:val="26"/>
                <w:szCs w:val="26"/>
              </w:rPr>
              <w:t>các xã: Xy, Thuận, Hướng Việt, huyện Hướng Hóa vẫn hưởng mức phụ cấp đặc biệt</w:t>
            </w:r>
            <w:r w:rsidRPr="00484932">
              <w:rPr>
                <w:i/>
                <w:sz w:val="26"/>
                <w:szCs w:val="26"/>
              </w:rPr>
              <w:t xml:space="preserve"> </w:t>
            </w:r>
            <w:r w:rsidRPr="00484932">
              <w:rPr>
                <w:sz w:val="26"/>
                <w:szCs w:val="26"/>
              </w:rPr>
              <w:t>30%.</w:t>
            </w:r>
          </w:p>
        </w:tc>
        <w:tc>
          <w:tcPr>
            <w:tcW w:w="0" w:type="auto"/>
          </w:tcPr>
          <w:p w:rsidR="002024FB" w:rsidRPr="00484932" w:rsidRDefault="002024FB" w:rsidP="00484932">
            <w:pPr>
              <w:spacing w:line="264" w:lineRule="auto"/>
              <w:rPr>
                <w:rFonts w:cs="Times New Roman"/>
                <w:szCs w:val="26"/>
              </w:rPr>
            </w:pPr>
          </w:p>
        </w:tc>
        <w:tc>
          <w:tcPr>
            <w:tcW w:w="0" w:type="auto"/>
          </w:tcPr>
          <w:p w:rsidR="002024FB" w:rsidRPr="00484932" w:rsidRDefault="002024FB" w:rsidP="00484932">
            <w:pPr>
              <w:spacing w:line="264" w:lineRule="auto"/>
              <w:rPr>
                <w:rFonts w:cs="Times New Roman"/>
                <w:szCs w:val="26"/>
              </w:rPr>
            </w:pPr>
          </w:p>
        </w:tc>
      </w:tr>
      <w:tr w:rsidR="00484932" w:rsidRPr="00484932" w:rsidTr="00484932">
        <w:trPr>
          <w:trHeight w:val="5428"/>
        </w:trPr>
        <w:tc>
          <w:tcPr>
            <w:tcW w:w="0" w:type="auto"/>
          </w:tcPr>
          <w:p w:rsidR="002024FB" w:rsidRPr="00484932" w:rsidRDefault="004A7B99" w:rsidP="00484932">
            <w:pPr>
              <w:spacing w:line="264" w:lineRule="auto"/>
              <w:rPr>
                <w:rFonts w:cs="Times New Roman"/>
                <w:szCs w:val="26"/>
              </w:rPr>
            </w:pPr>
            <w:r w:rsidRPr="00484932">
              <w:rPr>
                <w:rFonts w:cs="Times New Roman"/>
                <w:szCs w:val="26"/>
              </w:rPr>
              <w:lastRenderedPageBreak/>
              <w:t>3</w:t>
            </w:r>
          </w:p>
        </w:tc>
        <w:tc>
          <w:tcPr>
            <w:tcW w:w="0" w:type="auto"/>
          </w:tcPr>
          <w:p w:rsidR="002024FB" w:rsidRPr="00484932" w:rsidRDefault="002024FB" w:rsidP="00484932">
            <w:pPr>
              <w:pStyle w:val="NormalWeb"/>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before="0" w:beforeAutospacing="0" w:after="0" w:afterAutospacing="0" w:line="264" w:lineRule="auto"/>
              <w:ind w:firstLine="318"/>
              <w:jc w:val="both"/>
              <w:rPr>
                <w:sz w:val="26"/>
                <w:szCs w:val="26"/>
              </w:rPr>
            </w:pPr>
            <w:r w:rsidRPr="00484932">
              <w:rPr>
                <w:b/>
                <w:i/>
                <w:sz w:val="26"/>
                <w:szCs w:val="26"/>
              </w:rPr>
              <w:t>Cử tri xã Xy (Hướng Hóa) kiến nghị:</w:t>
            </w:r>
            <w:r w:rsidRPr="00484932">
              <w:rPr>
                <w:sz w:val="26"/>
                <w:szCs w:val="26"/>
              </w:rPr>
              <w:t xml:space="preserve"> Đề nghị UBND tỉnh, đề xuất các bộ, ngành Trung ương quan tâm về chế độ cho người có uy tín trong đồng bào dân tộc thiểu số và phụ cấp đối với chức danh Chủ tịch, Phó Chủ tịch Hội cựu Thanh niên xung phong xã.</w:t>
            </w:r>
          </w:p>
        </w:tc>
        <w:tc>
          <w:tcPr>
            <w:tcW w:w="0" w:type="auto"/>
          </w:tcPr>
          <w:p w:rsidR="00671F8D" w:rsidRPr="00484932" w:rsidRDefault="00671F8D" w:rsidP="00484932">
            <w:pPr>
              <w:pStyle w:val="NormalWeb"/>
              <w:widowControl w:val="0"/>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264" w:lineRule="auto"/>
              <w:ind w:firstLine="318"/>
              <w:jc w:val="both"/>
              <w:rPr>
                <w:i/>
                <w:sz w:val="26"/>
                <w:szCs w:val="26"/>
              </w:rPr>
            </w:pPr>
            <w:r w:rsidRPr="00484932">
              <w:rPr>
                <w:i/>
                <w:sz w:val="26"/>
                <w:szCs w:val="26"/>
              </w:rPr>
              <w:t>- Đối với chế độ cho người có uy tín trong đồng bào dân tộc thiểu số:</w:t>
            </w:r>
            <w:r w:rsidRPr="00484932">
              <w:rPr>
                <w:sz w:val="26"/>
                <w:szCs w:val="26"/>
              </w:rPr>
              <w:t xml:space="preserve"> Theo quy định tại Quyết định số: 12/2018/QĐ-TTg ngày 09/3/2018 của Thủ tướng Chính phủ về tiêu chí lựa chọn, công nhận người có uy tín và chính sách đối với người có uy tín trong đồng bào dân tộc thiểu số, đã được sửa đổi, bổ sung tại Quyết định số 28/2023/QĐ-TTg ngày 23/11/2023 của Thủ tướng Chính phủ về sửa đổi, bổ sung một số điều của Quyết định số 12/2018/QĐ-TTg ngày 09/3/2018 của Thủ tướng Chính phủ: “</w:t>
            </w:r>
            <w:r w:rsidRPr="00484932">
              <w:rPr>
                <w:i/>
                <w:sz w:val="26"/>
                <w:szCs w:val="26"/>
              </w:rPr>
              <w:t xml:space="preserve">người có uy tín trong đồng bào dân tộc thiểu số được hỗ trợ vật chất, động viên tinh thần theo quy định, không có quy định về chế độ phụ cấp”. </w:t>
            </w:r>
          </w:p>
          <w:p w:rsidR="00671F8D" w:rsidRPr="00484932" w:rsidRDefault="00671F8D" w:rsidP="00484932">
            <w:pPr>
              <w:pStyle w:val="NormalWeb"/>
              <w:widowControl w:val="0"/>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264" w:lineRule="auto"/>
              <w:ind w:firstLine="318"/>
              <w:jc w:val="both"/>
              <w:rPr>
                <w:sz w:val="26"/>
                <w:szCs w:val="26"/>
                <w:lang w:val="nl-NL"/>
              </w:rPr>
            </w:pPr>
            <w:r w:rsidRPr="00484932">
              <w:rPr>
                <w:sz w:val="26"/>
                <w:szCs w:val="26"/>
                <w:lang w:val="nl-NL"/>
              </w:rPr>
              <w:t xml:space="preserve">Nghị định số 33/2023/NĐ-CP ngày 10/6/2023 của Chính phủ quy định ở thôn, tổ dân phố có 03 người hoạt động không chuyên trách được hưởng phụ cấp hàng tháng từ ngân sách nhà nước (Bí thư Chi bộ, Trưởng thôn hoặc Tổ trưởng tổ dân phố, </w:t>
            </w:r>
            <w:r w:rsidRPr="00484932">
              <w:rPr>
                <w:sz w:val="26"/>
                <w:szCs w:val="26"/>
                <w:lang w:val="nl-NL"/>
              </w:rPr>
              <w:lastRenderedPageBreak/>
              <w:t>Trưởng ban Công tác Mặt trận); những người tham gia công việc của thôn, tổ dân phố gồm: Phó Bí thư Chi bộ, Phó Trưởng thôn, Phó Tổ trưởng tổ dân phố và Trưởng các tổ chức CT-XH ở thôn được hưởng mức hỗ trợ khi trực tiếp tham gia hoạt động ở thôn, tổ dân phố.</w:t>
            </w:r>
            <w:r w:rsidRPr="00484932">
              <w:rPr>
                <w:sz w:val="26"/>
                <w:szCs w:val="26"/>
              </w:rPr>
              <w:t xml:space="preserve"> Vì vậy, UBND tỉnh chưa có cơ sở để quy định chế độ phụ cấp hàng tháng hoặc hỗ trợ đối với người có uy tín, già làng trưởng bản và chưa kiến nghị trung ương về chế độ hỗ trợ cho người có uy </w:t>
            </w:r>
            <w:r w:rsidRPr="00484932">
              <w:rPr>
                <w:sz w:val="26"/>
                <w:szCs w:val="26"/>
                <w:lang w:val="nl-NL"/>
              </w:rPr>
              <w:t xml:space="preserve">tín trong đồng bào dân tộc thiểu số. </w:t>
            </w:r>
          </w:p>
          <w:p w:rsidR="002024FB" w:rsidRPr="00484932" w:rsidRDefault="00671F8D" w:rsidP="00484932">
            <w:pPr>
              <w:pStyle w:val="NormalWeb"/>
              <w:widowControl w:val="0"/>
              <w:pBdr>
                <w:top w:val="dotted" w:sz="4" w:space="0" w:color="FFFFFF"/>
                <w:left w:val="dotted" w:sz="4" w:space="0" w:color="FFFFFF"/>
                <w:bottom w:val="dotted" w:sz="4" w:space="31" w:color="FFFFFF"/>
                <w:right w:val="dotted" w:sz="4" w:space="0" w:color="FFFFFF"/>
              </w:pBdr>
              <w:shd w:val="clear" w:color="auto" w:fill="FFFFFF"/>
              <w:spacing w:before="0" w:beforeAutospacing="0" w:after="0" w:afterAutospacing="0" w:line="264" w:lineRule="auto"/>
              <w:ind w:firstLine="318"/>
              <w:jc w:val="both"/>
              <w:rPr>
                <w:sz w:val="26"/>
                <w:szCs w:val="26"/>
              </w:rPr>
            </w:pPr>
            <w:r w:rsidRPr="00484932">
              <w:rPr>
                <w:i/>
                <w:sz w:val="26"/>
                <w:szCs w:val="26"/>
                <w:lang w:val="nl-NL"/>
              </w:rPr>
              <w:t>-  Đối với chế độ phụ cấp chức danh Chủ tịch, Phó Chủ tịch Hội cựu Thanh niên xung phong cấp xã</w:t>
            </w:r>
            <w:r w:rsidRPr="00484932">
              <w:rPr>
                <w:sz w:val="26"/>
                <w:szCs w:val="26"/>
                <w:lang w:val="nl-NL"/>
              </w:rPr>
              <w:t>: Đối tượng này không thuộc chức danh người hoạt động không chuyên trách ở cấp xã, đồng thời Hội cựu Thanh niên xung phong cấp xã</w:t>
            </w:r>
            <w:r w:rsidRPr="00484932">
              <w:rPr>
                <w:sz w:val="26"/>
                <w:szCs w:val="26"/>
              </w:rPr>
              <w:t xml:space="preserve"> không thuộc tổ chức CT-XH và hội hoạt động theo nguyên tắc tự nguyện, tự quản và tự đảm bảo về kinh phí hoạt động, </w:t>
            </w:r>
            <w:r w:rsidRPr="00484932">
              <w:rPr>
                <w:sz w:val="26"/>
                <w:szCs w:val="26"/>
                <w:lang w:val="nl-NL"/>
              </w:rPr>
              <w:t>do đó chưa có cơ sở để đề xuất chế độ phụ cấp đối với các chức danh này.</w:t>
            </w:r>
          </w:p>
        </w:tc>
        <w:tc>
          <w:tcPr>
            <w:tcW w:w="0" w:type="auto"/>
          </w:tcPr>
          <w:p w:rsidR="002024FB" w:rsidRPr="00484932" w:rsidRDefault="002024FB" w:rsidP="00484932">
            <w:pPr>
              <w:spacing w:line="264" w:lineRule="auto"/>
              <w:rPr>
                <w:rFonts w:cs="Times New Roman"/>
                <w:szCs w:val="26"/>
              </w:rPr>
            </w:pPr>
            <w:r w:rsidRPr="00484932">
              <w:rPr>
                <w:rFonts w:cs="Times New Roman"/>
                <w:szCs w:val="26"/>
              </w:rPr>
              <w:lastRenderedPageBreak/>
              <w:t xml:space="preserve"> </w:t>
            </w:r>
          </w:p>
        </w:tc>
        <w:tc>
          <w:tcPr>
            <w:tcW w:w="0" w:type="auto"/>
          </w:tcPr>
          <w:p w:rsidR="002024FB" w:rsidRPr="00484932" w:rsidRDefault="002024FB" w:rsidP="00484932">
            <w:pPr>
              <w:spacing w:line="264" w:lineRule="auto"/>
              <w:rPr>
                <w:rFonts w:cs="Times New Roman"/>
                <w:szCs w:val="26"/>
              </w:rPr>
            </w:pPr>
          </w:p>
        </w:tc>
      </w:tr>
    </w:tbl>
    <w:p w:rsidR="005F7BCA" w:rsidRDefault="005F7BCA"/>
    <w:sectPr w:rsidR="005F7BCA" w:rsidSect="004469DB">
      <w:headerReference w:type="default" r:id="rId7"/>
      <w:pgSz w:w="16834" w:h="11909" w:orient="landscape" w:code="9"/>
      <w:pgMar w:top="1440" w:right="1151" w:bottom="1151" w:left="11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8F2" w:rsidRDefault="003218F2" w:rsidP="00454696">
      <w:pPr>
        <w:spacing w:after="0" w:line="240" w:lineRule="auto"/>
      </w:pPr>
      <w:r>
        <w:separator/>
      </w:r>
    </w:p>
  </w:endnote>
  <w:endnote w:type="continuationSeparator" w:id="0">
    <w:p w:rsidR="003218F2" w:rsidRDefault="003218F2" w:rsidP="00454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8F2" w:rsidRDefault="003218F2" w:rsidP="00454696">
      <w:pPr>
        <w:spacing w:after="0" w:line="240" w:lineRule="auto"/>
      </w:pPr>
      <w:r>
        <w:separator/>
      </w:r>
    </w:p>
  </w:footnote>
  <w:footnote w:type="continuationSeparator" w:id="0">
    <w:p w:rsidR="003218F2" w:rsidRDefault="003218F2" w:rsidP="00454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228553"/>
      <w:docPartObj>
        <w:docPartGallery w:val="Page Numbers (Top of Page)"/>
        <w:docPartUnique/>
      </w:docPartObj>
    </w:sdtPr>
    <w:sdtEndPr>
      <w:rPr>
        <w:noProof/>
      </w:rPr>
    </w:sdtEndPr>
    <w:sdtContent>
      <w:p w:rsidR="004469DB" w:rsidRDefault="004469DB">
        <w:pPr>
          <w:pStyle w:val="Header"/>
          <w:jc w:val="center"/>
        </w:pPr>
        <w:r>
          <w:fldChar w:fldCharType="begin"/>
        </w:r>
        <w:r>
          <w:instrText xml:space="preserve"> PAGE   \* MERGEFORMAT </w:instrText>
        </w:r>
        <w:r>
          <w:fldChar w:fldCharType="separate"/>
        </w:r>
        <w:r w:rsidR="008379E9">
          <w:rPr>
            <w:noProof/>
          </w:rPr>
          <w:t>2</w:t>
        </w:r>
        <w:r>
          <w:rPr>
            <w:noProof/>
          </w:rPr>
          <w:fldChar w:fldCharType="end"/>
        </w:r>
      </w:p>
    </w:sdtContent>
  </w:sdt>
  <w:p w:rsidR="004469DB" w:rsidRDefault="004469D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BB0183"/>
    <w:multiLevelType w:val="hybridMultilevel"/>
    <w:tmpl w:val="D458C466"/>
    <w:lvl w:ilvl="0" w:tplc="1B54D38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87"/>
    <w:rsid w:val="001B03F6"/>
    <w:rsid w:val="002024FB"/>
    <w:rsid w:val="00266975"/>
    <w:rsid w:val="002E5887"/>
    <w:rsid w:val="003218F2"/>
    <w:rsid w:val="003313CD"/>
    <w:rsid w:val="00355BD5"/>
    <w:rsid w:val="003A7769"/>
    <w:rsid w:val="003F1C59"/>
    <w:rsid w:val="004469DB"/>
    <w:rsid w:val="00454696"/>
    <w:rsid w:val="004569A9"/>
    <w:rsid w:val="00484932"/>
    <w:rsid w:val="004A7B99"/>
    <w:rsid w:val="00514D32"/>
    <w:rsid w:val="0058117A"/>
    <w:rsid w:val="005A3FCD"/>
    <w:rsid w:val="005B7260"/>
    <w:rsid w:val="005F7BCA"/>
    <w:rsid w:val="006645F3"/>
    <w:rsid w:val="00671F8D"/>
    <w:rsid w:val="006E11D4"/>
    <w:rsid w:val="0075639A"/>
    <w:rsid w:val="007600CE"/>
    <w:rsid w:val="008118D2"/>
    <w:rsid w:val="008339F9"/>
    <w:rsid w:val="008379E9"/>
    <w:rsid w:val="00886785"/>
    <w:rsid w:val="009A1DDA"/>
    <w:rsid w:val="009D110C"/>
    <w:rsid w:val="00A41594"/>
    <w:rsid w:val="00A4713D"/>
    <w:rsid w:val="00AC104D"/>
    <w:rsid w:val="00B06728"/>
    <w:rsid w:val="00B15F70"/>
    <w:rsid w:val="00B55062"/>
    <w:rsid w:val="00BC00B0"/>
    <w:rsid w:val="00C6001F"/>
    <w:rsid w:val="00CA7161"/>
    <w:rsid w:val="00DA669D"/>
    <w:rsid w:val="00DE6510"/>
    <w:rsid w:val="00F0404E"/>
    <w:rsid w:val="00F43CB4"/>
    <w:rsid w:val="00F44BD0"/>
    <w:rsid w:val="00FD2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C3392F-23F7-4731-A1B7-D38C51EF7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7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54696"/>
    <w:pPr>
      <w:spacing w:after="0" w:line="240" w:lineRule="auto"/>
      <w:jc w:val="center"/>
    </w:pPr>
    <w:rPr>
      <w:rFonts w:eastAsia="Times New Roman" w:cs="Times New Roman"/>
      <w:b/>
      <w:bCs/>
      <w:sz w:val="32"/>
      <w:szCs w:val="24"/>
    </w:rPr>
  </w:style>
  <w:style w:type="character" w:customStyle="1" w:styleId="BodyText2Char">
    <w:name w:val="Body Text 2 Char"/>
    <w:basedOn w:val="DefaultParagraphFont"/>
    <w:link w:val="BodyText2"/>
    <w:rsid w:val="00454696"/>
    <w:rPr>
      <w:rFonts w:eastAsia="Times New Roman" w:cs="Times New Roman"/>
      <w:b/>
      <w:bCs/>
      <w:sz w:val="32"/>
      <w:szCs w:val="24"/>
    </w:rPr>
  </w:style>
  <w:style w:type="paragraph" w:styleId="NormalWeb">
    <w:name w:val="Normal (Web)"/>
    <w:aliases w:val="Char Char Char,표준 (웹),Char Char Char Char Char Char Char Char Char Char,Char Char Char Char Char Char Char Char Char Char Char,Normal (Web) Char Char,Char Char25,Обычный (веб)1,Обычный (веб) Знак,Обычный (веб) Знак1,Обычный (веб) Знак Знак"/>
    <w:basedOn w:val="Normal"/>
    <w:link w:val="NormalWebChar"/>
    <w:uiPriority w:val="99"/>
    <w:qFormat/>
    <w:rsid w:val="00454696"/>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 Char Char,표준 (웹) Char,Char Char Char Char Char Char Char Char Char Char Char1,Char Char Char Char Char Char Char Char Char Char Char Char,Normal (Web) Char Char Char,Char Char25 Char,Обычный (веб)1 Char"/>
    <w:link w:val="NormalWeb"/>
    <w:uiPriority w:val="99"/>
    <w:locked/>
    <w:rsid w:val="00454696"/>
    <w:rPr>
      <w:rFonts w:eastAsia="Times New Roman" w:cs="Times New Roman"/>
      <w:sz w:val="24"/>
      <w:szCs w:val="24"/>
    </w:rPr>
  </w:style>
  <w:style w:type="paragraph" w:styleId="ListParagraph">
    <w:name w:val="List Paragraph"/>
    <w:basedOn w:val="Normal"/>
    <w:uiPriority w:val="34"/>
    <w:qFormat/>
    <w:rsid w:val="00454696"/>
    <w:pPr>
      <w:ind w:left="720"/>
      <w:contextualSpacing/>
    </w:pPr>
  </w:style>
  <w:style w:type="paragraph" w:styleId="FootnoteText">
    <w:name w:val="footnote text"/>
    <w:basedOn w:val="Normal"/>
    <w:link w:val="FootnoteTextChar"/>
    <w:uiPriority w:val="99"/>
    <w:semiHidden/>
    <w:unhideWhenUsed/>
    <w:rsid w:val="00454696"/>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454696"/>
    <w:rPr>
      <w:rFonts w:eastAsia="Times New Roman" w:cs="Times New Roman"/>
      <w:sz w:val="20"/>
      <w:szCs w:val="20"/>
    </w:rPr>
  </w:style>
  <w:style w:type="character" w:styleId="FootnoteReference">
    <w:name w:val="footnote reference"/>
    <w:basedOn w:val="DefaultParagraphFont"/>
    <w:uiPriority w:val="99"/>
    <w:semiHidden/>
    <w:unhideWhenUsed/>
    <w:rsid w:val="00454696"/>
    <w:rPr>
      <w:vertAlign w:val="superscript"/>
    </w:rPr>
  </w:style>
  <w:style w:type="paragraph" w:styleId="Header">
    <w:name w:val="header"/>
    <w:basedOn w:val="Normal"/>
    <w:link w:val="HeaderChar"/>
    <w:uiPriority w:val="99"/>
    <w:unhideWhenUsed/>
    <w:rsid w:val="00446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9DB"/>
  </w:style>
  <w:style w:type="paragraph" w:styleId="Footer">
    <w:name w:val="footer"/>
    <w:basedOn w:val="Normal"/>
    <w:link w:val="FooterChar"/>
    <w:uiPriority w:val="99"/>
    <w:unhideWhenUsed/>
    <w:rsid w:val="00446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1339</Words>
  <Characters>7634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RMT</dc:creator>
  <cp:keywords/>
  <dc:description/>
  <cp:lastModifiedBy>Admin</cp:lastModifiedBy>
  <cp:revision>2</cp:revision>
  <dcterms:created xsi:type="dcterms:W3CDTF">2024-06-18T08:54:00Z</dcterms:created>
  <dcterms:modified xsi:type="dcterms:W3CDTF">2024-06-18T08:54:00Z</dcterms:modified>
</cp:coreProperties>
</file>