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71"/>
        <w:tblW w:w="9464" w:type="dxa"/>
        <w:tblCellMar>
          <w:left w:w="0" w:type="dxa"/>
          <w:right w:w="0" w:type="dxa"/>
        </w:tblCellMar>
        <w:tblLook w:val="0000"/>
      </w:tblPr>
      <w:tblGrid>
        <w:gridCol w:w="3055"/>
        <w:gridCol w:w="6409"/>
      </w:tblGrid>
      <w:tr w:rsidR="00D9333A" w:rsidRPr="001B51B0" w:rsidTr="00D9333A">
        <w:trPr>
          <w:trHeight w:val="993"/>
        </w:trPr>
        <w:tc>
          <w:tcPr>
            <w:tcW w:w="3055" w:type="dxa"/>
            <w:tcMar>
              <w:top w:w="0" w:type="dxa"/>
              <w:left w:w="108" w:type="dxa"/>
              <w:bottom w:w="0" w:type="dxa"/>
              <w:right w:w="108" w:type="dxa"/>
            </w:tcMar>
          </w:tcPr>
          <w:p w:rsidR="00D9333A" w:rsidRPr="001B51B0" w:rsidRDefault="003A3B7A" w:rsidP="00D9333A">
            <w:pPr>
              <w:spacing w:before="60"/>
              <w:jc w:val="center"/>
              <w:rPr>
                <w:sz w:val="26"/>
                <w:szCs w:val="26"/>
              </w:rPr>
            </w:pPr>
            <w:r w:rsidRPr="003A3B7A">
              <w:rPr>
                <w:b/>
                <w:bCs/>
                <w:noProof/>
                <w:sz w:val="26"/>
                <w:szCs w:val="26"/>
              </w:rPr>
              <w:pict>
                <v:line id="_x0000_s1034" style="position:absolute;left:0;text-align:left;z-index:251660288" from="45pt,38.5pt" to="90pt,38.5pt"/>
              </w:pict>
            </w:r>
            <w:r w:rsidR="00D9333A" w:rsidRPr="001B51B0">
              <w:rPr>
                <w:b/>
                <w:bCs/>
                <w:sz w:val="26"/>
                <w:szCs w:val="26"/>
              </w:rPr>
              <w:t xml:space="preserve">HỘI ĐỒNG NHÂN DÂN </w:t>
            </w:r>
            <w:r w:rsidR="00D9333A" w:rsidRPr="001B51B0">
              <w:rPr>
                <w:b/>
                <w:bCs/>
                <w:sz w:val="26"/>
                <w:szCs w:val="26"/>
              </w:rPr>
              <w:br/>
              <w:t>TỈNH QUẢNG TRỊ</w:t>
            </w:r>
            <w:r w:rsidR="00D9333A" w:rsidRPr="001B51B0">
              <w:rPr>
                <w:b/>
                <w:bCs/>
                <w:sz w:val="26"/>
                <w:szCs w:val="26"/>
              </w:rPr>
              <w:br/>
            </w:r>
          </w:p>
        </w:tc>
        <w:tc>
          <w:tcPr>
            <w:tcW w:w="6409" w:type="dxa"/>
            <w:tcMar>
              <w:top w:w="0" w:type="dxa"/>
              <w:left w:w="108" w:type="dxa"/>
              <w:bottom w:w="0" w:type="dxa"/>
              <w:right w:w="108" w:type="dxa"/>
            </w:tcMar>
          </w:tcPr>
          <w:p w:rsidR="00D9333A" w:rsidRPr="001B51B0" w:rsidRDefault="003A3B7A" w:rsidP="00D9333A">
            <w:pPr>
              <w:spacing w:before="60"/>
              <w:jc w:val="center"/>
            </w:pPr>
            <w:r w:rsidRPr="003A3B7A">
              <w:rPr>
                <w:b/>
                <w:bCs/>
                <w:noProof/>
                <w:sz w:val="27"/>
                <w:szCs w:val="27"/>
              </w:rPr>
              <w:pict>
                <v:line id="_x0000_s1036" style="position:absolute;left:0;text-align:left;z-index:251662336;mso-position-horizontal-relative:text;mso-position-vertical-relative:text" from="84.8pt,38.6pt" to="246.35pt,38.6pt"/>
              </w:pict>
            </w:r>
            <w:r w:rsidR="00D9333A" w:rsidRPr="001B51B0">
              <w:rPr>
                <w:b/>
                <w:bCs/>
                <w:sz w:val="27"/>
                <w:szCs w:val="27"/>
              </w:rPr>
              <w:t xml:space="preserve">      </w:t>
            </w:r>
            <w:r w:rsidR="00D9333A" w:rsidRPr="001B51B0">
              <w:rPr>
                <w:b/>
                <w:bCs/>
                <w:sz w:val="26"/>
                <w:szCs w:val="26"/>
              </w:rPr>
              <w:t xml:space="preserve">CỘNG HÒA XÃ HỘI CHỦ NGHĨA VIỆT </w:t>
            </w:r>
            <w:smartTag w:uri="urn:schemas-microsoft-com:office:smarttags" w:element="place">
              <w:smartTag w:uri="urn:schemas-microsoft-com:office:smarttags" w:element="country-region">
                <w:r w:rsidR="00D9333A" w:rsidRPr="001B51B0">
                  <w:rPr>
                    <w:b/>
                    <w:bCs/>
                    <w:sz w:val="26"/>
                    <w:szCs w:val="26"/>
                  </w:rPr>
                  <w:t>NAM</w:t>
                </w:r>
              </w:smartTag>
            </w:smartTag>
            <w:r w:rsidR="00D9333A" w:rsidRPr="001B51B0">
              <w:rPr>
                <w:b/>
                <w:bCs/>
              </w:rPr>
              <w:br/>
              <w:t xml:space="preserve">       </w:t>
            </w:r>
            <w:r w:rsidR="00D9333A" w:rsidRPr="001B51B0">
              <w:rPr>
                <w:b/>
                <w:bCs/>
                <w:szCs w:val="28"/>
              </w:rPr>
              <w:t>Độc lập - Tự do - Hạnh phúc</w:t>
            </w:r>
            <w:r w:rsidR="00D9333A" w:rsidRPr="001B51B0">
              <w:rPr>
                <w:b/>
                <w:bCs/>
              </w:rPr>
              <w:t xml:space="preserve"> </w:t>
            </w:r>
            <w:r w:rsidR="00D9333A" w:rsidRPr="001B51B0">
              <w:rPr>
                <w:b/>
                <w:bCs/>
              </w:rPr>
              <w:br/>
            </w:r>
          </w:p>
        </w:tc>
      </w:tr>
      <w:tr w:rsidR="00D9333A" w:rsidRPr="001B51B0" w:rsidTr="00D9333A">
        <w:trPr>
          <w:trHeight w:val="470"/>
        </w:trPr>
        <w:tc>
          <w:tcPr>
            <w:tcW w:w="3055" w:type="dxa"/>
            <w:tcMar>
              <w:top w:w="0" w:type="dxa"/>
              <w:left w:w="108" w:type="dxa"/>
              <w:bottom w:w="0" w:type="dxa"/>
              <w:right w:w="108" w:type="dxa"/>
            </w:tcMar>
          </w:tcPr>
          <w:p w:rsidR="00D9333A" w:rsidRPr="001B51B0" w:rsidRDefault="00D9333A" w:rsidP="00D9333A">
            <w:pPr>
              <w:spacing w:before="120" w:after="100" w:afterAutospacing="1"/>
              <w:jc w:val="center"/>
            </w:pPr>
            <w:r w:rsidRPr="001B51B0">
              <w:rPr>
                <w:sz w:val="26"/>
              </w:rPr>
              <w:t>Số:      /NQ-HĐND</w:t>
            </w:r>
          </w:p>
        </w:tc>
        <w:tc>
          <w:tcPr>
            <w:tcW w:w="6409" w:type="dxa"/>
            <w:tcMar>
              <w:top w:w="0" w:type="dxa"/>
              <w:left w:w="108" w:type="dxa"/>
              <w:bottom w:w="0" w:type="dxa"/>
              <w:right w:w="108" w:type="dxa"/>
            </w:tcMar>
          </w:tcPr>
          <w:p w:rsidR="00D9333A" w:rsidRPr="001B51B0" w:rsidRDefault="00D9333A" w:rsidP="00D9333A">
            <w:pPr>
              <w:spacing w:before="120" w:after="100" w:afterAutospacing="1"/>
              <w:jc w:val="center"/>
              <w:rPr>
                <w:sz w:val="27"/>
                <w:szCs w:val="27"/>
              </w:rPr>
            </w:pPr>
            <w:r w:rsidRPr="001B51B0">
              <w:rPr>
                <w:i/>
                <w:iCs/>
                <w:sz w:val="27"/>
                <w:szCs w:val="27"/>
              </w:rPr>
              <w:t xml:space="preserve">     Quảng Trị, ngày 09 tháng 12 năm 2020</w:t>
            </w:r>
          </w:p>
        </w:tc>
      </w:tr>
    </w:tbl>
    <w:p w:rsidR="00D9333A" w:rsidRPr="001B51B0" w:rsidRDefault="003A3B7A" w:rsidP="00D9333A">
      <w:r w:rsidRPr="003A3B7A">
        <w:rPr>
          <w:b/>
          <w:bCs/>
          <w:noProof/>
          <w:szCs w:val="28"/>
        </w:rPr>
        <w:pict>
          <v:rect id="Rectangle 9" o:spid="_x0000_s1037" style="position:absolute;margin-left:31.85pt;margin-top:43.9pt;width:71.8pt;height:25.55pt;flip:y;z-index:25166336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" strokecolor="#f79646" strokeweight="2pt">
            <v:textbox>
              <w:txbxContent>
                <w:p w:rsidR="00D9333A" w:rsidRPr="00EB4EA7" w:rsidRDefault="00D9333A" w:rsidP="00D9333A">
                  <w:pPr>
                    <w:jc w:val="center"/>
                    <w:rPr>
                      <w:b/>
                      <w:sz w:val="18"/>
                      <w:szCs w:val="18"/>
                    </w:rPr>
                  </w:pPr>
                  <w:r w:rsidRPr="00EB4EA7">
                    <w:rPr>
                      <w:b/>
                      <w:sz w:val="18"/>
                      <w:szCs w:val="18"/>
                    </w:rPr>
                    <w:t xml:space="preserve">DỰ THẢO 1 </w:t>
                  </w:r>
                </w:p>
              </w:txbxContent>
            </v:textbox>
          </v:rect>
        </w:pict>
      </w:r>
      <w:r w:rsidR="00D9333A" w:rsidRPr="001B51B0">
        <w:t> </w:t>
      </w:r>
    </w:p>
    <w:p w:rsidR="00D9333A" w:rsidRPr="001B51B0" w:rsidRDefault="00D9333A" w:rsidP="00D9333A">
      <w:pPr>
        <w:spacing w:before="60"/>
        <w:jc w:val="center"/>
        <w:rPr>
          <w:szCs w:val="28"/>
        </w:rPr>
      </w:pPr>
      <w:r w:rsidRPr="001B51B0">
        <w:rPr>
          <w:b/>
          <w:bCs/>
          <w:szCs w:val="28"/>
        </w:rPr>
        <w:t>NGHỊ QUYẾT</w:t>
      </w:r>
    </w:p>
    <w:p w:rsidR="00D9333A" w:rsidRPr="001B51B0" w:rsidRDefault="00D9333A" w:rsidP="00D9333A">
      <w:pPr>
        <w:spacing w:before="60"/>
        <w:jc w:val="center"/>
        <w:rPr>
          <w:b/>
          <w:szCs w:val="28"/>
        </w:rPr>
      </w:pPr>
      <w:r w:rsidRPr="001B51B0">
        <w:rPr>
          <w:b/>
          <w:szCs w:val="28"/>
        </w:rPr>
        <w:t>Về chỉ tiêu biên chế hành chính, số người làm việc năm 2021</w:t>
      </w:r>
    </w:p>
    <w:p w:rsidR="00D9333A" w:rsidRPr="001B51B0" w:rsidRDefault="003A3B7A" w:rsidP="00D9333A">
      <w:pPr>
        <w:ind w:firstLine="720"/>
        <w:jc w:val="center"/>
        <w:rPr>
          <w:szCs w:val="28"/>
        </w:rPr>
      </w:pPr>
      <w:r>
        <w:rPr>
          <w:noProof/>
          <w:szCs w:val="28"/>
        </w:rPr>
        <w:pict>
          <v:line id="_x0000_s1035" style="position:absolute;left:0;text-align:left;z-index:251661312" from="162.9pt,3.7pt" to="290.45pt,3.7pt"/>
        </w:pict>
      </w:r>
    </w:p>
    <w:p w:rsidR="00916FCA" w:rsidRDefault="00D9333A" w:rsidP="00EB4EA7">
      <w:pPr>
        <w:jc w:val="center"/>
        <w:rPr>
          <w:bCs/>
          <w:sz w:val="27"/>
          <w:szCs w:val="27"/>
        </w:rPr>
      </w:pPr>
      <w:r w:rsidRPr="001B51B0">
        <w:rPr>
          <w:b/>
          <w:bCs/>
          <w:sz w:val="27"/>
          <w:szCs w:val="27"/>
        </w:rPr>
        <w:t xml:space="preserve">HỘI ĐỒNG NHÂN DÂN TỈNH QUẢNG TRỊ </w:t>
      </w:r>
      <w:r w:rsidRPr="001B51B0">
        <w:rPr>
          <w:b/>
          <w:bCs/>
          <w:sz w:val="27"/>
          <w:szCs w:val="27"/>
        </w:rPr>
        <w:br/>
        <w:t>KHÓA VII, KỲ HỌP THỨ 19</w:t>
      </w:r>
    </w:p>
    <w:p w:rsidR="00EB4EA7" w:rsidRPr="00EB4EA7" w:rsidRDefault="00EB4EA7" w:rsidP="00EB4EA7">
      <w:pPr>
        <w:jc w:val="center"/>
        <w:rPr>
          <w:bCs/>
          <w:sz w:val="27"/>
          <w:szCs w:val="27"/>
        </w:rPr>
      </w:pPr>
    </w:p>
    <w:p w:rsidR="00D9333A" w:rsidRPr="006819B9" w:rsidRDefault="00D9333A" w:rsidP="00EB4EA7">
      <w:pPr>
        <w:spacing w:before="120" w:after="120" w:line="320" w:lineRule="exact"/>
        <w:ind w:firstLine="720"/>
        <w:jc w:val="both"/>
        <w:rPr>
          <w:i/>
          <w:sz w:val="26"/>
          <w:szCs w:val="28"/>
        </w:rPr>
      </w:pPr>
      <w:r w:rsidRPr="006819B9">
        <w:rPr>
          <w:i/>
          <w:sz w:val="26"/>
          <w:szCs w:val="28"/>
        </w:rPr>
        <w:t>Căn cứ Luật Tổ chức chính quyền địa phương ngày 19 tháng 6 năm 2015 và Luật Sửa đổi, bổ sung một số điều của Tổ chức chính phủ và Luật Tổ chức chính quyền địa phương ngày 22 tháng 11 năm 2019;</w:t>
      </w:r>
    </w:p>
    <w:p w:rsidR="00D9333A" w:rsidRPr="006819B9" w:rsidRDefault="00D9333A" w:rsidP="00EB4EA7">
      <w:pPr>
        <w:spacing w:before="120" w:after="120" w:line="320" w:lineRule="exact"/>
        <w:ind w:firstLine="720"/>
        <w:jc w:val="both"/>
        <w:rPr>
          <w:i/>
          <w:sz w:val="26"/>
          <w:szCs w:val="28"/>
        </w:rPr>
      </w:pPr>
      <w:r w:rsidRPr="006819B9">
        <w:rPr>
          <w:i/>
          <w:sz w:val="26"/>
          <w:szCs w:val="28"/>
        </w:rPr>
        <w:t>Căn cứ Luật Cán bộ, công chức ngày 13 tháng 11 năm 2008, Luật Viên chức ngày 15 tháng 11 năm 2010 và Luật Sửa đổi, bổ sung một số điều của Luật Cán bộ, công chức và Luật Viên chức ngày 25 tháng 11 năm 2019;</w:t>
      </w:r>
    </w:p>
    <w:p w:rsidR="00D9333A" w:rsidRPr="006819B9" w:rsidRDefault="00D9333A" w:rsidP="00EB4EA7">
      <w:pPr>
        <w:widowControl w:val="0"/>
        <w:spacing w:before="120" w:after="120" w:line="320" w:lineRule="exact"/>
        <w:ind w:firstLine="720"/>
        <w:jc w:val="both"/>
        <w:rPr>
          <w:i/>
          <w:sz w:val="26"/>
          <w:szCs w:val="28"/>
        </w:rPr>
      </w:pPr>
      <w:r w:rsidRPr="006819B9">
        <w:rPr>
          <w:i/>
          <w:sz w:val="26"/>
          <w:szCs w:val="28"/>
        </w:rPr>
        <w:t>Căn cứ Nghị định số 62/2020/NĐ-CP ngày 01/6/2020 của Chính phủ về vị trí việc làm và biên chế công chức;</w:t>
      </w:r>
    </w:p>
    <w:p w:rsidR="00D9333A" w:rsidRPr="006819B9" w:rsidRDefault="00D9333A" w:rsidP="00EB4EA7">
      <w:pPr>
        <w:widowControl w:val="0"/>
        <w:spacing w:before="120" w:after="120" w:line="320" w:lineRule="exact"/>
        <w:ind w:firstLine="720"/>
        <w:jc w:val="both"/>
        <w:rPr>
          <w:i/>
          <w:sz w:val="26"/>
          <w:szCs w:val="28"/>
        </w:rPr>
      </w:pPr>
      <w:r w:rsidRPr="006819B9">
        <w:rPr>
          <w:i/>
          <w:sz w:val="26"/>
          <w:szCs w:val="28"/>
        </w:rPr>
        <w:t xml:space="preserve">Căn cứ </w:t>
      </w:r>
      <w:r w:rsidRPr="006819B9">
        <w:rPr>
          <w:i/>
          <w:sz w:val="26"/>
          <w:szCs w:val="28"/>
          <w:lang w:val="fr-FR"/>
        </w:rPr>
        <w:t>Nghị định số 106/2020/NĐ-CP ngày 10/9/2020 của Chính phủ về vị trí việc làm và số người làm việc trong đơn vị sự nghiệp công lập</w:t>
      </w:r>
      <w:r w:rsidRPr="006819B9">
        <w:rPr>
          <w:i/>
          <w:sz w:val="26"/>
          <w:szCs w:val="28"/>
        </w:rPr>
        <w:t>;</w:t>
      </w:r>
    </w:p>
    <w:p w:rsidR="00D9333A" w:rsidRPr="006819B9" w:rsidRDefault="00D9333A" w:rsidP="00EB4EA7">
      <w:pPr>
        <w:spacing w:before="120" w:after="120" w:line="320" w:lineRule="exact"/>
        <w:ind w:firstLine="720"/>
        <w:jc w:val="both"/>
        <w:rPr>
          <w:i/>
          <w:iCs/>
          <w:sz w:val="26"/>
          <w:szCs w:val="28"/>
        </w:rPr>
      </w:pPr>
      <w:r w:rsidRPr="006819B9">
        <w:rPr>
          <w:i/>
          <w:iCs/>
          <w:sz w:val="26"/>
          <w:szCs w:val="28"/>
        </w:rPr>
        <w:t>Căn cứ Nghị định số 108/2014/NĐ-CP ngày 20 tháng 11 năm 2014 của Chính phủ về chính sách tinh giản biên chế và Nghị định số 113/2018/NĐ-CP ngày 31 tháng 8 năm 2018 của Chính phủ Sửa đổi, bổ sung một số điều của Nghị định số 108/2014/NĐ-CP;</w:t>
      </w:r>
    </w:p>
    <w:p w:rsidR="009251E7" w:rsidRPr="006819B9" w:rsidRDefault="00D9333A" w:rsidP="00EB4EA7">
      <w:pPr>
        <w:spacing w:before="120" w:after="120" w:line="320" w:lineRule="exact"/>
        <w:ind w:firstLine="720"/>
        <w:jc w:val="both"/>
        <w:rPr>
          <w:i/>
          <w:iCs/>
          <w:sz w:val="26"/>
          <w:szCs w:val="28"/>
        </w:rPr>
      </w:pPr>
      <w:r w:rsidRPr="006819B9">
        <w:rPr>
          <w:i/>
          <w:iCs/>
          <w:sz w:val="26"/>
          <w:szCs w:val="28"/>
        </w:rPr>
        <w:t xml:space="preserve">Xét Tờ trình số </w:t>
      </w:r>
      <w:r w:rsidR="00916FCA" w:rsidRPr="006819B9">
        <w:rPr>
          <w:i/>
          <w:iCs/>
          <w:sz w:val="26"/>
          <w:szCs w:val="28"/>
        </w:rPr>
        <w:t>5501</w:t>
      </w:r>
      <w:r w:rsidRPr="006819B9">
        <w:rPr>
          <w:i/>
          <w:iCs/>
          <w:sz w:val="26"/>
          <w:szCs w:val="28"/>
        </w:rPr>
        <w:t xml:space="preserve">/TTr-UBND ngày </w:t>
      </w:r>
      <w:r w:rsidR="00916FCA" w:rsidRPr="006819B9">
        <w:rPr>
          <w:i/>
          <w:iCs/>
          <w:sz w:val="26"/>
          <w:szCs w:val="28"/>
        </w:rPr>
        <w:t xml:space="preserve">01 tháng 12 năm </w:t>
      </w:r>
      <w:r w:rsidRPr="006819B9">
        <w:rPr>
          <w:i/>
          <w:iCs/>
          <w:sz w:val="26"/>
          <w:szCs w:val="28"/>
        </w:rPr>
        <w:t xml:space="preserve">2020 của Ủy ban nhân dân tỉnh về </w:t>
      </w:r>
      <w:r w:rsidR="00916FCA" w:rsidRPr="006819B9">
        <w:rPr>
          <w:i/>
          <w:iCs/>
          <w:sz w:val="26"/>
          <w:szCs w:val="28"/>
        </w:rPr>
        <w:t>K</w:t>
      </w:r>
      <w:r w:rsidRPr="006819B9">
        <w:rPr>
          <w:i/>
          <w:iCs/>
          <w:sz w:val="26"/>
          <w:szCs w:val="28"/>
        </w:rPr>
        <w:t xml:space="preserve">ế hoạch biên chế hành chính, sự nghiệp năm 2021; </w:t>
      </w:r>
      <w:r w:rsidR="009251E7" w:rsidRPr="006819B9">
        <w:rPr>
          <w:i/>
          <w:iCs/>
          <w:sz w:val="26"/>
          <w:szCs w:val="28"/>
        </w:rPr>
        <w:t>B</w:t>
      </w:r>
      <w:r w:rsidRPr="006819B9">
        <w:rPr>
          <w:i/>
          <w:iCs/>
          <w:sz w:val="26"/>
          <w:szCs w:val="28"/>
        </w:rPr>
        <w:t xml:space="preserve">áo cáo thẩm tra của Ban Pháp chế và ý kiến thảo luận của đại biểu Hội đồng nhân dân </w:t>
      </w:r>
      <w:r w:rsidR="009251E7" w:rsidRPr="006819B9">
        <w:rPr>
          <w:i/>
          <w:iCs/>
          <w:sz w:val="26"/>
          <w:szCs w:val="28"/>
        </w:rPr>
        <w:t xml:space="preserve">tỉnh </w:t>
      </w:r>
      <w:r w:rsidRPr="006819B9">
        <w:rPr>
          <w:i/>
          <w:iCs/>
          <w:sz w:val="26"/>
          <w:szCs w:val="28"/>
        </w:rPr>
        <w:t>tại kỳ họp</w:t>
      </w:r>
      <w:r w:rsidR="00916FCA" w:rsidRPr="006819B9">
        <w:rPr>
          <w:i/>
          <w:iCs/>
          <w:sz w:val="26"/>
          <w:szCs w:val="28"/>
        </w:rPr>
        <w:t>.</w:t>
      </w:r>
    </w:p>
    <w:p w:rsidR="00EB4EA7" w:rsidRPr="00EB4EA7" w:rsidRDefault="00EB4EA7" w:rsidP="00EB4EA7">
      <w:pPr>
        <w:jc w:val="both"/>
        <w:rPr>
          <w:iCs/>
          <w:sz w:val="26"/>
          <w:szCs w:val="28"/>
        </w:rPr>
      </w:pPr>
    </w:p>
    <w:p w:rsidR="00D9333A" w:rsidRPr="001B51B0" w:rsidRDefault="00D9333A" w:rsidP="00EB4EA7">
      <w:pPr>
        <w:jc w:val="center"/>
        <w:rPr>
          <w:b/>
          <w:bCs/>
          <w:szCs w:val="28"/>
        </w:rPr>
      </w:pPr>
      <w:r w:rsidRPr="001B51B0">
        <w:rPr>
          <w:b/>
          <w:bCs/>
          <w:szCs w:val="28"/>
        </w:rPr>
        <w:t>QUYẾT NGHỊ:</w:t>
      </w:r>
    </w:p>
    <w:p w:rsidR="00D9333A" w:rsidRPr="001B51B0" w:rsidRDefault="00D9333A" w:rsidP="00EB4EA7">
      <w:pPr>
        <w:jc w:val="center"/>
        <w:rPr>
          <w:b/>
          <w:bCs/>
          <w:szCs w:val="28"/>
        </w:rPr>
      </w:pPr>
    </w:p>
    <w:p w:rsidR="00D9333A" w:rsidRPr="001B51B0" w:rsidRDefault="00D9333A" w:rsidP="00EB4EA7">
      <w:pPr>
        <w:spacing w:before="120" w:after="120" w:line="320" w:lineRule="exact"/>
        <w:ind w:firstLine="567"/>
        <w:jc w:val="both"/>
        <w:rPr>
          <w:szCs w:val="28"/>
          <w:lang w:val="de-DE"/>
        </w:rPr>
      </w:pPr>
      <w:r w:rsidRPr="001B51B0">
        <w:rPr>
          <w:b/>
          <w:szCs w:val="28"/>
          <w:lang w:val="de-DE"/>
        </w:rPr>
        <w:t>Điều 1.</w:t>
      </w:r>
      <w:r w:rsidRPr="001B51B0">
        <w:rPr>
          <w:szCs w:val="28"/>
          <w:lang w:val="de-DE"/>
        </w:rPr>
        <w:t xml:space="preserve"> Phê duyệt tổng chỉ tiêu biên chế hành chính, số người làm việc và hợp đồng trong các cơ quan, tổ chức hành chính, sự nghiệp của tỉnh Quảng Trị năm 2021</w:t>
      </w:r>
    </w:p>
    <w:p w:rsidR="00D9333A" w:rsidRPr="001B51B0" w:rsidRDefault="00D9333A" w:rsidP="00EB4EA7">
      <w:pPr>
        <w:spacing w:before="120" w:after="120" w:line="320" w:lineRule="exact"/>
        <w:ind w:firstLine="567"/>
        <w:jc w:val="both"/>
        <w:rPr>
          <w:szCs w:val="28"/>
          <w:lang w:val="de-DE"/>
        </w:rPr>
      </w:pPr>
      <w:r w:rsidRPr="001B51B0">
        <w:rPr>
          <w:szCs w:val="28"/>
          <w:lang w:val="de-DE"/>
        </w:rPr>
        <w:t>1. Biên chế hành chính: 1.756 chỉ tiêu.</w:t>
      </w:r>
    </w:p>
    <w:p w:rsidR="00D9333A" w:rsidRPr="001B51B0" w:rsidRDefault="00D9333A" w:rsidP="00EB4EA7">
      <w:pPr>
        <w:spacing w:before="120" w:after="120" w:line="320" w:lineRule="exact"/>
        <w:ind w:firstLine="567"/>
        <w:jc w:val="both"/>
        <w:rPr>
          <w:szCs w:val="28"/>
          <w:lang w:val="de-DE"/>
        </w:rPr>
      </w:pPr>
      <w:r w:rsidRPr="001B51B0">
        <w:rPr>
          <w:szCs w:val="28"/>
          <w:lang w:val="de-DE"/>
        </w:rPr>
        <w:t>2. Số người làm việc: 16.074 chỉ tiêu, trong đó:</w:t>
      </w:r>
    </w:p>
    <w:p w:rsidR="00D9333A" w:rsidRPr="001B51B0" w:rsidRDefault="00D9333A" w:rsidP="00EB4EA7">
      <w:pPr>
        <w:spacing w:before="120" w:after="120" w:line="320" w:lineRule="exact"/>
        <w:ind w:firstLine="567"/>
        <w:jc w:val="both"/>
        <w:rPr>
          <w:szCs w:val="28"/>
          <w:lang w:val="de-DE"/>
        </w:rPr>
      </w:pPr>
      <w:r w:rsidRPr="001B51B0">
        <w:rPr>
          <w:szCs w:val="28"/>
          <w:lang w:val="de-DE"/>
        </w:rPr>
        <w:t xml:space="preserve">- Sự nghiệp giáo dục và đào tạo: 13.287 chỉ tiêu; </w:t>
      </w:r>
    </w:p>
    <w:p w:rsidR="00D9333A" w:rsidRPr="001B51B0" w:rsidRDefault="00D9333A" w:rsidP="00EB4EA7">
      <w:pPr>
        <w:spacing w:before="120" w:after="120" w:line="320" w:lineRule="exact"/>
        <w:ind w:firstLine="567"/>
        <w:jc w:val="both"/>
        <w:rPr>
          <w:szCs w:val="28"/>
          <w:lang w:val="de-DE"/>
        </w:rPr>
      </w:pPr>
      <w:r w:rsidRPr="001B51B0">
        <w:rPr>
          <w:szCs w:val="28"/>
          <w:lang w:val="de-DE"/>
        </w:rPr>
        <w:t>- Sự nghiệp y tế: 1.966 chỉ tiêu;</w:t>
      </w:r>
    </w:p>
    <w:p w:rsidR="00D9333A" w:rsidRPr="001B51B0" w:rsidRDefault="00D9333A" w:rsidP="00EB4EA7">
      <w:pPr>
        <w:spacing w:before="120" w:after="120" w:line="320" w:lineRule="exact"/>
        <w:ind w:firstLine="567"/>
        <w:jc w:val="both"/>
        <w:rPr>
          <w:szCs w:val="28"/>
          <w:lang w:val="de-DE"/>
        </w:rPr>
      </w:pPr>
      <w:r w:rsidRPr="001B51B0">
        <w:rPr>
          <w:szCs w:val="28"/>
          <w:lang w:val="de-DE"/>
        </w:rPr>
        <w:t>- Sự nghiệp văn hóa - thể thao: 333 chỉ tiêu;</w:t>
      </w:r>
    </w:p>
    <w:p w:rsidR="00D9333A" w:rsidRPr="001B51B0" w:rsidRDefault="00D9333A" w:rsidP="00EB4EA7">
      <w:pPr>
        <w:spacing w:before="120" w:after="120" w:line="320" w:lineRule="exact"/>
        <w:ind w:firstLine="567"/>
        <w:jc w:val="both"/>
        <w:rPr>
          <w:szCs w:val="28"/>
          <w:lang w:val="de-DE"/>
        </w:rPr>
      </w:pPr>
      <w:r w:rsidRPr="001B51B0">
        <w:rPr>
          <w:szCs w:val="28"/>
          <w:lang w:val="de-DE"/>
        </w:rPr>
        <w:t>- Sự nghiệp khác: 488 chỉ tiêu.</w:t>
      </w:r>
    </w:p>
    <w:p w:rsidR="00D9333A" w:rsidRPr="001B51B0" w:rsidRDefault="00D9333A" w:rsidP="00EB4EA7">
      <w:pPr>
        <w:spacing w:before="120" w:after="120" w:line="320" w:lineRule="exact"/>
        <w:ind w:firstLine="567"/>
        <w:jc w:val="both"/>
        <w:rPr>
          <w:szCs w:val="28"/>
          <w:lang w:val="de-DE"/>
        </w:rPr>
      </w:pPr>
      <w:r w:rsidRPr="001B51B0">
        <w:rPr>
          <w:szCs w:val="28"/>
          <w:lang w:val="de-DE"/>
        </w:rPr>
        <w:lastRenderedPageBreak/>
        <w:t>3. Hợp đồng theo Nghị định số 68/2000/NĐ-CP: 199 chỉ tiêu, trong đó:</w:t>
      </w:r>
    </w:p>
    <w:p w:rsidR="00D9333A" w:rsidRPr="001B51B0" w:rsidRDefault="00D9333A" w:rsidP="00EB4EA7">
      <w:pPr>
        <w:spacing w:before="120" w:after="120" w:line="320" w:lineRule="exact"/>
        <w:ind w:firstLine="567"/>
        <w:jc w:val="both"/>
        <w:rPr>
          <w:szCs w:val="28"/>
          <w:lang w:val="de-DE"/>
        </w:rPr>
      </w:pPr>
      <w:r w:rsidRPr="001B51B0">
        <w:rPr>
          <w:szCs w:val="28"/>
          <w:lang w:val="de-DE"/>
        </w:rPr>
        <w:t>- Trong cơ quan hành chính: 103 chỉ tiêu;</w:t>
      </w:r>
    </w:p>
    <w:p w:rsidR="00D9333A" w:rsidRPr="001B51B0" w:rsidRDefault="00D9333A" w:rsidP="00EB4EA7">
      <w:pPr>
        <w:spacing w:before="120" w:after="120" w:line="320" w:lineRule="exact"/>
        <w:ind w:firstLine="567"/>
        <w:jc w:val="both"/>
        <w:rPr>
          <w:szCs w:val="28"/>
          <w:lang w:val="de-DE"/>
        </w:rPr>
      </w:pPr>
      <w:r w:rsidRPr="001B51B0">
        <w:rPr>
          <w:szCs w:val="28"/>
          <w:lang w:val="de-DE"/>
        </w:rPr>
        <w:t>- Trong đơn vị sự nghiệp công lập: 96 chỉ tiêu.</w:t>
      </w:r>
    </w:p>
    <w:p w:rsidR="00D9333A" w:rsidRPr="001B51B0" w:rsidRDefault="00D9333A" w:rsidP="00EB4EA7">
      <w:pPr>
        <w:spacing w:before="120" w:after="120" w:line="320" w:lineRule="exact"/>
        <w:ind w:firstLine="567"/>
        <w:jc w:val="both"/>
        <w:rPr>
          <w:szCs w:val="28"/>
          <w:lang w:val="de-DE"/>
        </w:rPr>
      </w:pPr>
      <w:r w:rsidRPr="001B51B0">
        <w:rPr>
          <w:szCs w:val="28"/>
          <w:lang w:val="de-DE"/>
        </w:rPr>
        <w:t>4. Biên chế trong các tổ chức hội: 71 chỉ tiêu.</w:t>
      </w:r>
    </w:p>
    <w:p w:rsidR="00D9333A" w:rsidRPr="001B51B0" w:rsidRDefault="00D9333A" w:rsidP="00EB4EA7">
      <w:pPr>
        <w:spacing w:before="120" w:after="120" w:line="320" w:lineRule="exact"/>
        <w:ind w:firstLine="567"/>
        <w:jc w:val="both"/>
        <w:rPr>
          <w:szCs w:val="28"/>
          <w:lang w:val="de-DE"/>
        </w:rPr>
      </w:pPr>
      <w:r w:rsidRPr="001B51B0">
        <w:rPr>
          <w:szCs w:val="28"/>
          <w:lang w:val="de-DE"/>
        </w:rPr>
        <w:t>5. Hợp đồng lao động (nguồn ngân sách địa phương): 56 chỉ tiêu.</w:t>
      </w:r>
    </w:p>
    <w:p w:rsidR="00D9333A" w:rsidRPr="001B51B0" w:rsidRDefault="00D9333A" w:rsidP="00EB4EA7">
      <w:pPr>
        <w:spacing w:before="120" w:after="120" w:line="320" w:lineRule="exact"/>
        <w:ind w:firstLine="567"/>
        <w:jc w:val="center"/>
        <w:rPr>
          <w:i/>
          <w:szCs w:val="28"/>
          <w:lang w:val="de-DE"/>
        </w:rPr>
      </w:pPr>
      <w:r w:rsidRPr="001B51B0">
        <w:rPr>
          <w:i/>
          <w:szCs w:val="28"/>
          <w:lang w:val="de-DE"/>
        </w:rPr>
        <w:t xml:space="preserve"> (Chi tiết tại Phụ lục kèm theo)</w:t>
      </w:r>
    </w:p>
    <w:p w:rsidR="00D9333A" w:rsidRPr="001B51B0" w:rsidRDefault="00D9333A" w:rsidP="00EB4EA7">
      <w:pPr>
        <w:tabs>
          <w:tab w:val="left" w:pos="900"/>
          <w:tab w:val="left" w:pos="1440"/>
        </w:tabs>
        <w:spacing w:before="120" w:after="120" w:line="320" w:lineRule="exact"/>
        <w:ind w:firstLine="567"/>
        <w:jc w:val="both"/>
        <w:rPr>
          <w:szCs w:val="28"/>
          <w:lang w:val="fr-FR"/>
        </w:rPr>
      </w:pPr>
      <w:r w:rsidRPr="001B51B0">
        <w:rPr>
          <w:b/>
          <w:szCs w:val="28"/>
          <w:lang w:val="de-DE"/>
        </w:rPr>
        <w:t>Điều 2.</w:t>
      </w:r>
      <w:r w:rsidRPr="001B51B0">
        <w:rPr>
          <w:szCs w:val="28"/>
          <w:lang w:val="de-DE"/>
        </w:rPr>
        <w:t xml:space="preserve"> </w:t>
      </w:r>
      <w:r w:rsidR="00EB4EA7">
        <w:rPr>
          <w:szCs w:val="28"/>
          <w:lang w:val="fr-FR"/>
        </w:rPr>
        <w:t>Nhiệm vụ, giải pháp</w:t>
      </w:r>
    </w:p>
    <w:p w:rsidR="00D9333A" w:rsidRPr="001B51B0" w:rsidRDefault="00D9333A" w:rsidP="00EB4EA7">
      <w:pPr>
        <w:numPr>
          <w:ilvl w:val="0"/>
          <w:numId w:val="1"/>
        </w:numPr>
        <w:tabs>
          <w:tab w:val="clear" w:pos="720"/>
          <w:tab w:val="left" w:pos="851"/>
        </w:tabs>
        <w:spacing w:before="120" w:after="120" w:line="320" w:lineRule="exact"/>
        <w:ind w:left="0" w:firstLine="567"/>
        <w:jc w:val="both"/>
        <w:rPr>
          <w:szCs w:val="28"/>
          <w:lang w:val="de-DE"/>
        </w:rPr>
      </w:pPr>
      <w:r w:rsidRPr="001B51B0">
        <w:rPr>
          <w:szCs w:val="28"/>
          <w:lang w:val="de-DE"/>
        </w:rPr>
        <w:t>Chính sách đối với việc cắt giảm 38 chỉ tiêu hợp đồng 68 (19 nhân viên lái xe, 13 nhân viên phục vụ, 04 nhân viên điện nước, 01 nhân viên bảo vệ, 01 nhân viên kỹ thuật) trong cơ quan, tổ chức hành chính do tinh giản biên chế:</w:t>
      </w:r>
    </w:p>
    <w:p w:rsidR="00D9333A" w:rsidRPr="001B51B0" w:rsidRDefault="00D9333A" w:rsidP="00EB4EA7">
      <w:pPr>
        <w:tabs>
          <w:tab w:val="left" w:pos="851"/>
        </w:tabs>
        <w:spacing w:before="120" w:after="120" w:line="320" w:lineRule="exact"/>
        <w:ind w:firstLine="567"/>
        <w:jc w:val="both"/>
        <w:rPr>
          <w:szCs w:val="28"/>
          <w:lang w:val="de-DE"/>
        </w:rPr>
      </w:pPr>
      <w:r w:rsidRPr="001B51B0">
        <w:rPr>
          <w:szCs w:val="28"/>
          <w:lang w:val="de-DE"/>
        </w:rPr>
        <w:t>Việc cắt giảm và thực hiện các chế độ chính sách đối với hợp đồng 68 trong cơ quan, tổ chức hành c</w:t>
      </w:r>
      <w:r w:rsidR="00C95D70">
        <w:rPr>
          <w:szCs w:val="28"/>
          <w:lang w:val="de-DE"/>
        </w:rPr>
        <w:t xml:space="preserve">hính được thực hiện đến ngày 31 tháng 12 năm </w:t>
      </w:r>
      <w:r w:rsidRPr="001B51B0">
        <w:rPr>
          <w:szCs w:val="28"/>
          <w:lang w:val="de-DE"/>
        </w:rPr>
        <w:t>2021. Trong thời gian chưa cắt giảm, những trường hợp hợp đồng 68 kể trên tiếp tục được hưởng lương và các chế độ chính sách như hiện hưởng, kinh phí chi trả từ nguồn ngân sách.</w:t>
      </w:r>
    </w:p>
    <w:p w:rsidR="00D9333A" w:rsidRPr="001B51B0" w:rsidRDefault="00D9333A" w:rsidP="00EB4EA7">
      <w:pPr>
        <w:tabs>
          <w:tab w:val="left" w:pos="851"/>
        </w:tabs>
        <w:spacing w:before="120" w:after="120" w:line="320" w:lineRule="exact"/>
        <w:ind w:firstLine="567"/>
        <w:jc w:val="both"/>
        <w:rPr>
          <w:szCs w:val="28"/>
          <w:lang w:val="de-DE"/>
        </w:rPr>
      </w:pPr>
      <w:r w:rsidRPr="001B51B0">
        <w:rPr>
          <w:szCs w:val="28"/>
          <w:lang w:val="de-DE"/>
        </w:rPr>
        <w:t>Sau khi thực hiện việc chấm dứt hợp đồng 68, trường hợp các cơ quan, đơn vị có nhu cầu sử dụng lao động phục vụ, bảo vệ, điện nước, nhân viên kỹ thuật thì căn cứ quy định tại</w:t>
      </w:r>
      <w:r w:rsidRPr="001B51B0">
        <w:rPr>
          <w:bCs/>
          <w:iCs/>
          <w:szCs w:val="28"/>
        </w:rPr>
        <w:t xml:space="preserve"> </w:t>
      </w:r>
      <w:r w:rsidR="00C90593">
        <w:rPr>
          <w:bCs/>
          <w:iCs/>
          <w:szCs w:val="28"/>
        </w:rPr>
        <w:t>L</w:t>
      </w:r>
      <w:r w:rsidRPr="001B51B0">
        <w:rPr>
          <w:bCs/>
          <w:iCs/>
          <w:szCs w:val="28"/>
        </w:rPr>
        <w:t>uật Lao động số 10/2012/QH13 và các văn bản liên quan để</w:t>
      </w:r>
      <w:r w:rsidRPr="001B51B0">
        <w:rPr>
          <w:szCs w:val="28"/>
          <w:lang w:val="de-DE"/>
        </w:rPr>
        <w:t xml:space="preserve"> thực hiện việc ký hợp đồng lao động, kinh phí chi trả cho hợp đồng lao động từ nguồn tiết kiệm chi thường xuyên của cơ quan, đơn vị.</w:t>
      </w:r>
    </w:p>
    <w:p w:rsidR="00D9333A" w:rsidRPr="001B51B0" w:rsidRDefault="00D9333A" w:rsidP="00EB4EA7">
      <w:pPr>
        <w:widowControl w:val="0"/>
        <w:tabs>
          <w:tab w:val="left" w:pos="851"/>
        </w:tabs>
        <w:spacing w:before="120" w:after="120" w:line="320" w:lineRule="exact"/>
        <w:ind w:firstLine="567"/>
        <w:jc w:val="both"/>
        <w:rPr>
          <w:szCs w:val="28"/>
          <w:lang w:val="de-DE"/>
        </w:rPr>
      </w:pPr>
      <w:r w:rsidRPr="001B51B0">
        <w:rPr>
          <w:szCs w:val="28"/>
          <w:lang w:val="de-DE"/>
        </w:rPr>
        <w:t>Đối với những trường hợp hợp đồng 68 cắt giảm không được hưởng chính sách về hưu trước tuổi theo quy định, ngoài chế độ, chính sách hiện hành được hưởng thì được hỗ trợ thêm 01 tháng tiền lương hiện hưởng cho mỗi năm công tác có đóng bảo hiểm xã hội, kinh phí chi trả từ nguồn ngân sách địa phương.</w:t>
      </w:r>
    </w:p>
    <w:p w:rsidR="00D9333A" w:rsidRPr="001B51B0" w:rsidRDefault="00D9333A" w:rsidP="00EB4EA7">
      <w:pPr>
        <w:widowControl w:val="0"/>
        <w:tabs>
          <w:tab w:val="left" w:pos="851"/>
        </w:tabs>
        <w:spacing w:before="120" w:after="120" w:line="320" w:lineRule="exact"/>
        <w:ind w:firstLine="567"/>
        <w:jc w:val="both"/>
        <w:rPr>
          <w:szCs w:val="28"/>
        </w:rPr>
      </w:pPr>
      <w:r w:rsidRPr="00C95D70">
        <w:rPr>
          <w:szCs w:val="28"/>
          <w:lang w:val="de-DE"/>
        </w:rPr>
        <w:t>2.</w:t>
      </w:r>
      <w:r w:rsidRPr="001B51B0">
        <w:rPr>
          <w:szCs w:val="28"/>
          <w:lang w:val="de-DE"/>
        </w:rPr>
        <w:t xml:space="preserve"> Đối với các cơ quan có </w:t>
      </w:r>
      <w:bookmarkStart w:id="0" w:name="dieu_8"/>
      <w:r w:rsidRPr="001B51B0">
        <w:rPr>
          <w:szCs w:val="28"/>
          <w:lang w:val="de-DE"/>
        </w:rPr>
        <w:t>các</w:t>
      </w:r>
      <w:r w:rsidRPr="001B51B0">
        <w:rPr>
          <w:bCs/>
          <w:szCs w:val="28"/>
          <w:shd w:val="clear" w:color="auto" w:fill="FFFFFF"/>
          <w:lang w:val="vi-VN"/>
        </w:rPr>
        <w:t xml:space="preserve"> chức danh có tiêu chuẩn sử dụng xe ô tô phục vụ công tác chung khi đi công tác</w:t>
      </w:r>
      <w:bookmarkEnd w:id="0"/>
      <w:r w:rsidRPr="001B51B0">
        <w:rPr>
          <w:bCs/>
          <w:szCs w:val="28"/>
          <w:shd w:val="clear" w:color="auto" w:fill="FFFFFF"/>
        </w:rPr>
        <w:t xml:space="preserve"> </w:t>
      </w:r>
      <w:r w:rsidRPr="001B51B0">
        <w:rPr>
          <w:szCs w:val="28"/>
          <w:lang w:val="de-DE"/>
        </w:rPr>
        <w:t xml:space="preserve">nhưng không </w:t>
      </w:r>
      <w:r w:rsidRPr="001B51B0">
        <w:rPr>
          <w:szCs w:val="28"/>
          <w:shd w:val="clear" w:color="auto" w:fill="FFFFFF"/>
        </w:rPr>
        <w:t xml:space="preserve">được trang bị xe ô tô phục vụ công tác chung thì thực hiện khoán kinh phí sử dụng xe ô tô theo </w:t>
      </w:r>
      <w:r w:rsidR="00C90593">
        <w:rPr>
          <w:szCs w:val="28"/>
        </w:rPr>
        <w:t xml:space="preserve">Thông tư 24/2019/TT-BTC ngày 22 tháng 4 năm </w:t>
      </w:r>
      <w:r w:rsidRPr="001B51B0">
        <w:rPr>
          <w:szCs w:val="28"/>
        </w:rPr>
        <w:t xml:space="preserve">2019 của Bộ Tài chính Hướng dẫn một số nội dung của </w:t>
      </w:r>
      <w:r w:rsidR="00C90593">
        <w:rPr>
          <w:szCs w:val="28"/>
        </w:rPr>
        <w:t xml:space="preserve">Nghị định 04/2019/NĐ-CP ngày 11 tháng 01 năm </w:t>
      </w:r>
      <w:r w:rsidRPr="001B51B0">
        <w:rPr>
          <w:szCs w:val="28"/>
        </w:rPr>
        <w:t>2020 của Chính phủ. Khi chưa có quy định về đơn giá khoán thì thực hiện giao kinh phí ổn định như hiện nay để các cơ quan, đơn vị thuê xe phục vụ công tác.</w:t>
      </w:r>
    </w:p>
    <w:p w:rsidR="00D9333A" w:rsidRPr="001B51B0" w:rsidRDefault="00D9333A" w:rsidP="00EB4EA7">
      <w:pPr>
        <w:widowControl w:val="0"/>
        <w:tabs>
          <w:tab w:val="left" w:pos="851"/>
        </w:tabs>
        <w:spacing w:before="120" w:after="120" w:line="320" w:lineRule="exact"/>
        <w:ind w:firstLine="567"/>
        <w:jc w:val="both"/>
        <w:rPr>
          <w:szCs w:val="28"/>
          <w:lang w:val="vi-VN"/>
        </w:rPr>
      </w:pPr>
      <w:r w:rsidRPr="00C95D70">
        <w:rPr>
          <w:bCs/>
          <w:szCs w:val="28"/>
          <w:lang w:val="fr-FR"/>
        </w:rPr>
        <w:t>3.</w:t>
      </w:r>
      <w:r w:rsidRPr="001B51B0">
        <w:rPr>
          <w:bCs/>
          <w:szCs w:val="28"/>
          <w:lang w:val="fr-FR"/>
        </w:rPr>
        <w:t xml:space="preserve"> </w:t>
      </w:r>
      <w:r w:rsidRPr="001B51B0">
        <w:rPr>
          <w:szCs w:val="28"/>
          <w:lang w:val="de-DE"/>
        </w:rPr>
        <w:t xml:space="preserve">Tiếp tục thực hiện có hiệu quả việc sắp xếp, tổ chức lại bộ máy các cơ quan, đơn vị theo </w:t>
      </w:r>
      <w:r w:rsidR="00C90593">
        <w:rPr>
          <w:szCs w:val="28"/>
          <w:lang w:val="vi-VN"/>
        </w:rPr>
        <w:t>Kế hoạch số 84-KH/TU ngày 27</w:t>
      </w:r>
      <w:r w:rsidR="00C90593">
        <w:rPr>
          <w:szCs w:val="28"/>
        </w:rPr>
        <w:t xml:space="preserve"> tháng </w:t>
      </w:r>
      <w:r w:rsidR="00C90593">
        <w:rPr>
          <w:szCs w:val="28"/>
          <w:lang w:val="vi-VN"/>
        </w:rPr>
        <w:t>4</w:t>
      </w:r>
      <w:r w:rsidR="00C90593">
        <w:rPr>
          <w:szCs w:val="28"/>
        </w:rPr>
        <w:t xml:space="preserve"> năm </w:t>
      </w:r>
      <w:r w:rsidRPr="001B51B0">
        <w:rPr>
          <w:szCs w:val="28"/>
          <w:lang w:val="vi-VN"/>
        </w:rPr>
        <w:t>2018 của Tỉnh ủy</w:t>
      </w:r>
      <w:r w:rsidRPr="001B51B0">
        <w:rPr>
          <w:szCs w:val="28"/>
          <w:lang w:val="de-DE"/>
        </w:rPr>
        <w:t>,</w:t>
      </w:r>
      <w:r w:rsidR="00C90593">
        <w:rPr>
          <w:szCs w:val="28"/>
          <w:lang w:val="vi-VN"/>
        </w:rPr>
        <w:t xml:space="preserve"> Kế hoạch số 86-KH/TU ngày 07</w:t>
      </w:r>
      <w:r w:rsidR="00C90593">
        <w:rPr>
          <w:szCs w:val="28"/>
        </w:rPr>
        <w:t xml:space="preserve"> tháng </w:t>
      </w:r>
      <w:r w:rsidR="00C90593">
        <w:rPr>
          <w:szCs w:val="28"/>
          <w:lang w:val="vi-VN"/>
        </w:rPr>
        <w:t>5</w:t>
      </w:r>
      <w:r w:rsidR="00C90593">
        <w:rPr>
          <w:szCs w:val="28"/>
        </w:rPr>
        <w:t xml:space="preserve"> năm </w:t>
      </w:r>
      <w:r w:rsidRPr="001B51B0">
        <w:rPr>
          <w:szCs w:val="28"/>
          <w:lang w:val="vi-VN"/>
        </w:rPr>
        <w:t xml:space="preserve">2018 của Tỉnh ủy </w:t>
      </w:r>
      <w:r w:rsidRPr="001B51B0">
        <w:rPr>
          <w:szCs w:val="28"/>
          <w:lang w:val="de-DE"/>
        </w:rPr>
        <w:t xml:space="preserve">và </w:t>
      </w:r>
      <w:r w:rsidRPr="001B51B0">
        <w:rPr>
          <w:szCs w:val="28"/>
          <w:lang w:val="vi-VN"/>
        </w:rPr>
        <w:t>Quy</w:t>
      </w:r>
      <w:r w:rsidR="00C90593">
        <w:rPr>
          <w:szCs w:val="28"/>
          <w:lang w:val="vi-VN"/>
        </w:rPr>
        <w:t>ết định số 1322/QĐ-UBND ngày 15</w:t>
      </w:r>
      <w:r w:rsidR="00C90593">
        <w:rPr>
          <w:szCs w:val="28"/>
        </w:rPr>
        <w:t xml:space="preserve"> tháng </w:t>
      </w:r>
      <w:r w:rsidR="00C90593">
        <w:rPr>
          <w:szCs w:val="28"/>
          <w:lang w:val="vi-VN"/>
        </w:rPr>
        <w:t>6</w:t>
      </w:r>
      <w:r w:rsidR="00C90593">
        <w:rPr>
          <w:szCs w:val="28"/>
        </w:rPr>
        <w:t xml:space="preserve"> năm </w:t>
      </w:r>
      <w:r w:rsidRPr="001B51B0">
        <w:rPr>
          <w:szCs w:val="28"/>
          <w:lang w:val="vi-VN"/>
        </w:rPr>
        <w:t>2018 của UBND tỉnh</w:t>
      </w:r>
      <w:r w:rsidRPr="001B51B0">
        <w:rPr>
          <w:szCs w:val="28"/>
          <w:lang w:val="de-DE"/>
        </w:rPr>
        <w:t xml:space="preserve"> về ban hành Đề án sắp xếp, tổ chức lại các đơn vị hành chính cấp xã; thôn, bản, khu phố; c</w:t>
      </w:r>
      <w:r w:rsidRPr="001B51B0">
        <w:rPr>
          <w:szCs w:val="28"/>
          <w:lang w:val="vi-VN"/>
        </w:rPr>
        <w:t>ơ quan hành chính</w:t>
      </w:r>
      <w:r w:rsidRPr="00C90593">
        <w:rPr>
          <w:szCs w:val="28"/>
          <w:lang w:val="vi-VN"/>
        </w:rPr>
        <w:t xml:space="preserve"> và </w:t>
      </w:r>
      <w:r w:rsidR="00C90593" w:rsidRPr="00C90593">
        <w:rPr>
          <w:szCs w:val="28"/>
          <w:lang w:val="fr-FR"/>
        </w:rPr>
        <w:t>đơn vị sự nghiệp công lập</w:t>
      </w:r>
      <w:r w:rsidRPr="001B51B0">
        <w:rPr>
          <w:szCs w:val="28"/>
          <w:lang w:val="de-DE"/>
        </w:rPr>
        <w:t xml:space="preserve">, thực hiện </w:t>
      </w:r>
      <w:r w:rsidRPr="001B51B0">
        <w:rPr>
          <w:bCs/>
          <w:szCs w:val="28"/>
          <w:lang w:val="af-ZA"/>
        </w:rPr>
        <w:t>Nghị quyết số 18-NQ/TW và Nghị quyết số 19-NQ/TW của Hội nghị lần thứ sáu Ban Chấp hành Trung ương Đảng khóa XII, gắn với tinh giản biên chế.</w:t>
      </w:r>
      <w:r w:rsidRPr="001B51B0">
        <w:rPr>
          <w:bCs/>
          <w:szCs w:val="28"/>
          <w:lang w:val="fr-FR"/>
        </w:rPr>
        <w:t xml:space="preserve"> </w:t>
      </w:r>
    </w:p>
    <w:p w:rsidR="00D9333A" w:rsidRPr="001B51B0" w:rsidRDefault="00D9333A" w:rsidP="00EB4EA7">
      <w:pPr>
        <w:tabs>
          <w:tab w:val="left" w:pos="851"/>
        </w:tabs>
        <w:spacing w:before="120" w:after="120" w:line="320" w:lineRule="exact"/>
        <w:ind w:firstLine="567"/>
        <w:jc w:val="both"/>
        <w:rPr>
          <w:bCs/>
          <w:szCs w:val="28"/>
          <w:lang w:val="fr-FR"/>
        </w:rPr>
      </w:pPr>
      <w:r w:rsidRPr="00C95D70">
        <w:rPr>
          <w:bCs/>
          <w:szCs w:val="28"/>
          <w:lang w:val="fr-FR"/>
        </w:rPr>
        <w:lastRenderedPageBreak/>
        <w:t>4.</w:t>
      </w:r>
      <w:r w:rsidR="00C95D70">
        <w:rPr>
          <w:bCs/>
          <w:szCs w:val="28"/>
          <w:lang w:val="fr-FR"/>
        </w:rPr>
        <w:t xml:space="preserve"> </w:t>
      </w:r>
      <w:r w:rsidRPr="001B51B0">
        <w:rPr>
          <w:bCs/>
          <w:szCs w:val="28"/>
          <w:lang w:val="fr-FR"/>
        </w:rPr>
        <w:t xml:space="preserve">Xây dựng, trình cơ quan có thẩm quyền phê duyệt Đề án tinh giản biên chế đối với các </w:t>
      </w:r>
      <w:r w:rsidR="00C90593" w:rsidRPr="00C90593">
        <w:rPr>
          <w:szCs w:val="28"/>
          <w:lang w:val="fr-FR"/>
        </w:rPr>
        <w:t>đơn vị sự nghiệp công lập</w:t>
      </w:r>
      <w:r w:rsidR="00C90593" w:rsidRPr="001B51B0">
        <w:rPr>
          <w:bCs/>
          <w:szCs w:val="28"/>
          <w:lang w:val="fr-FR"/>
        </w:rPr>
        <w:t xml:space="preserve"> </w:t>
      </w:r>
      <w:r w:rsidRPr="001B51B0">
        <w:rPr>
          <w:bCs/>
          <w:szCs w:val="28"/>
          <w:lang w:val="fr-FR"/>
        </w:rPr>
        <w:t>giai đoạn 2022</w:t>
      </w:r>
      <w:r w:rsidR="00C90593">
        <w:rPr>
          <w:bCs/>
          <w:szCs w:val="28"/>
          <w:lang w:val="fr-FR"/>
        </w:rPr>
        <w:t xml:space="preserve"> </w:t>
      </w:r>
      <w:r w:rsidRPr="001B51B0">
        <w:rPr>
          <w:bCs/>
          <w:szCs w:val="28"/>
          <w:lang w:val="fr-FR"/>
        </w:rPr>
        <w:t>-</w:t>
      </w:r>
      <w:r w:rsidR="00C90593">
        <w:rPr>
          <w:bCs/>
          <w:szCs w:val="28"/>
          <w:lang w:val="fr-FR"/>
        </w:rPr>
        <w:t xml:space="preserve"> </w:t>
      </w:r>
      <w:r w:rsidRPr="001B51B0">
        <w:rPr>
          <w:bCs/>
          <w:szCs w:val="28"/>
          <w:lang w:val="fr-FR"/>
        </w:rPr>
        <w:t xml:space="preserve">2025, trong đó xác định tỷ lệ cắt giảm số người làm việc hưởng lương ngân sách nhà nước của từng đơn vị tối thiểu là 10% so với số người làm việc được giao năm 2021 theo </w:t>
      </w:r>
      <w:r w:rsidRPr="001B51B0">
        <w:rPr>
          <w:bCs/>
          <w:szCs w:val="28"/>
          <w:lang w:val="af-ZA"/>
        </w:rPr>
        <w:t>Nghị quyết số 19-NQ/TW và Quyết định 1322/QĐ-UBND</w:t>
      </w:r>
      <w:r w:rsidRPr="001B51B0">
        <w:rPr>
          <w:bCs/>
          <w:szCs w:val="28"/>
          <w:lang w:val="fr-FR"/>
        </w:rPr>
        <w:t>.</w:t>
      </w:r>
    </w:p>
    <w:p w:rsidR="00D9333A" w:rsidRPr="001B51B0" w:rsidRDefault="00D9333A" w:rsidP="00EB4EA7">
      <w:pPr>
        <w:tabs>
          <w:tab w:val="left" w:pos="851"/>
        </w:tabs>
        <w:spacing w:before="120" w:after="120" w:line="320" w:lineRule="exact"/>
        <w:ind w:firstLine="567"/>
        <w:rPr>
          <w:szCs w:val="28"/>
          <w:lang w:val="de-DE"/>
        </w:rPr>
      </w:pPr>
      <w:r w:rsidRPr="001B51B0">
        <w:rPr>
          <w:szCs w:val="28"/>
          <w:lang w:val="de-DE"/>
        </w:rPr>
        <w:t>Kịp thời giải quyết chế độ chính sách cho đối tượng tinh giản biên chế.</w:t>
      </w:r>
    </w:p>
    <w:p w:rsidR="00D9333A" w:rsidRPr="001B51B0" w:rsidRDefault="00D9333A" w:rsidP="00EB4EA7">
      <w:pPr>
        <w:widowControl w:val="0"/>
        <w:tabs>
          <w:tab w:val="left" w:pos="851"/>
        </w:tabs>
        <w:spacing w:before="120" w:after="120" w:line="320" w:lineRule="exact"/>
        <w:ind w:firstLine="567"/>
        <w:jc w:val="both"/>
        <w:rPr>
          <w:bCs/>
          <w:szCs w:val="28"/>
          <w:lang w:val="de-DE"/>
        </w:rPr>
      </w:pPr>
      <w:r w:rsidRPr="00C95D70">
        <w:rPr>
          <w:bCs/>
          <w:szCs w:val="28"/>
          <w:lang w:val="de-DE"/>
        </w:rPr>
        <w:t>5.</w:t>
      </w:r>
      <w:r w:rsidRPr="001B51B0">
        <w:rPr>
          <w:bCs/>
          <w:szCs w:val="28"/>
          <w:lang w:val="de-DE"/>
        </w:rPr>
        <w:t xml:space="preserve"> Hoàn thành việc phê duyệt vị trí việc làm các cơ quan hành chính theo quy định tại Ngh</w:t>
      </w:r>
      <w:r w:rsidR="00C90593">
        <w:rPr>
          <w:bCs/>
          <w:szCs w:val="28"/>
          <w:lang w:val="de-DE"/>
        </w:rPr>
        <w:t xml:space="preserve">ị định số 62/2020/NĐ-CP ngày 01 tháng 6 năm </w:t>
      </w:r>
      <w:r w:rsidRPr="001B51B0">
        <w:rPr>
          <w:bCs/>
          <w:szCs w:val="28"/>
          <w:lang w:val="de-DE"/>
        </w:rPr>
        <w:t xml:space="preserve">2020 của Chính phủ về vị trí việc làm và biên chế công chức và phê duyệt điều chỉnh vị trí việc làm các </w:t>
      </w:r>
      <w:r w:rsidR="00C90593" w:rsidRPr="00C90593">
        <w:rPr>
          <w:szCs w:val="28"/>
          <w:lang w:val="fr-FR"/>
        </w:rPr>
        <w:t>đơn vị sự nghiệp công lập</w:t>
      </w:r>
      <w:r w:rsidR="00C90593" w:rsidRPr="001B51B0">
        <w:rPr>
          <w:bCs/>
          <w:szCs w:val="28"/>
          <w:lang w:val="de-DE"/>
        </w:rPr>
        <w:t xml:space="preserve"> </w:t>
      </w:r>
      <w:r w:rsidRPr="001B51B0">
        <w:rPr>
          <w:bCs/>
          <w:szCs w:val="28"/>
          <w:lang w:val="de-DE"/>
        </w:rPr>
        <w:t>theo quy định tại Nghị đ</w:t>
      </w:r>
      <w:r w:rsidR="00C90593">
        <w:rPr>
          <w:bCs/>
          <w:szCs w:val="28"/>
          <w:lang w:val="de-DE"/>
        </w:rPr>
        <w:t xml:space="preserve">ịnh số 106/2020/NĐ-CP ngày 10 tháng 9 năm </w:t>
      </w:r>
      <w:r w:rsidRPr="001B51B0">
        <w:rPr>
          <w:bCs/>
          <w:szCs w:val="28"/>
          <w:lang w:val="de-DE"/>
        </w:rPr>
        <w:t xml:space="preserve">2020 của Chính phủ về vị trí việc làm và số lượng người làm việc trong </w:t>
      </w:r>
      <w:r w:rsidR="00C90593" w:rsidRPr="00C90593">
        <w:rPr>
          <w:szCs w:val="28"/>
          <w:lang w:val="fr-FR"/>
        </w:rPr>
        <w:t>đơn vị sự nghiệp công lập</w:t>
      </w:r>
      <w:r w:rsidRPr="001B51B0">
        <w:rPr>
          <w:bCs/>
          <w:szCs w:val="28"/>
          <w:lang w:val="de-DE"/>
        </w:rPr>
        <w:t>. Thực hiện việc tuyển dụng kịp thời đội ngũ công chức, viên chức còn thiếu theo đúng quy định.</w:t>
      </w:r>
    </w:p>
    <w:p w:rsidR="00D9333A" w:rsidRPr="001B51B0" w:rsidRDefault="00D9333A" w:rsidP="00EB4EA7">
      <w:pPr>
        <w:widowControl w:val="0"/>
        <w:tabs>
          <w:tab w:val="left" w:pos="851"/>
        </w:tabs>
        <w:spacing w:before="120" w:after="120" w:line="320" w:lineRule="exact"/>
        <w:ind w:firstLine="567"/>
        <w:jc w:val="both"/>
        <w:rPr>
          <w:bCs/>
          <w:szCs w:val="28"/>
          <w:lang w:val="de-DE"/>
        </w:rPr>
      </w:pPr>
      <w:r w:rsidRPr="00C95D70">
        <w:rPr>
          <w:bCs/>
          <w:szCs w:val="28"/>
          <w:lang w:val="de-DE"/>
        </w:rPr>
        <w:t>6.</w:t>
      </w:r>
      <w:r w:rsidRPr="001B51B0">
        <w:rPr>
          <w:bCs/>
          <w:szCs w:val="28"/>
          <w:lang w:val="de-DE"/>
        </w:rPr>
        <w:t xml:space="preserve"> Đẩy mạnh rà soát, cân đối, điều chỉnh hợp lý biên chế từ nơi thừa đến nơi thiếu giữa các sở, ban, ngành, huyện, thành phố, thị xã, để cơ cấu lại hợp lý đội ngũ cán bộ, công chức, viên chức theo vị trí việc làm, đúng định mức quy định, đáp ứng yêu cầu, nhiệm vụ, gắn với tinh giản biên chế.</w:t>
      </w:r>
    </w:p>
    <w:p w:rsidR="00D9333A" w:rsidRPr="001B51B0" w:rsidRDefault="00D9333A" w:rsidP="00EB4EA7">
      <w:pPr>
        <w:widowControl w:val="0"/>
        <w:tabs>
          <w:tab w:val="left" w:pos="851"/>
        </w:tabs>
        <w:spacing w:before="120" w:after="120" w:line="320" w:lineRule="exact"/>
        <w:ind w:firstLine="567"/>
        <w:jc w:val="both"/>
        <w:rPr>
          <w:bCs/>
          <w:szCs w:val="28"/>
          <w:lang w:val="de-DE"/>
        </w:rPr>
      </w:pPr>
      <w:r w:rsidRPr="00C95D70">
        <w:rPr>
          <w:bCs/>
          <w:szCs w:val="28"/>
          <w:lang w:val="de-DE"/>
        </w:rPr>
        <w:t>7.</w:t>
      </w:r>
      <w:r w:rsidRPr="001B51B0">
        <w:rPr>
          <w:bCs/>
          <w:szCs w:val="28"/>
          <w:lang w:val="de-DE"/>
        </w:rPr>
        <w:t xml:space="preserve"> Các huyện, thị xã, thành phố tìm giải pháp khuyến khích mở thêm các trường mầm non, phổ thông ngoài công lập, để giảm số lượng học sinh trong các trường công lập. Đẩy mạnh thực hiện chuyển đổi một số trường mầm non và trường trung học phổ thông công lập sang loại hình đơn vị tự đảm bảo chi thường xuyên hoặc chuyển ra ngoài công lập để dành biên chế bổ sung cho những vùng khó khăn, nhằm thực hiện có hiệu quả việc tinh giản biên chế theo đúng quy định trong giai đoạn 2020</w:t>
      </w:r>
      <w:r w:rsidR="00C90593">
        <w:rPr>
          <w:bCs/>
          <w:szCs w:val="28"/>
          <w:lang w:val="de-DE"/>
        </w:rPr>
        <w:t xml:space="preserve"> </w:t>
      </w:r>
      <w:r w:rsidRPr="001B51B0">
        <w:rPr>
          <w:bCs/>
          <w:szCs w:val="28"/>
          <w:lang w:val="de-DE"/>
        </w:rPr>
        <w:t>-</w:t>
      </w:r>
      <w:r w:rsidR="00C90593">
        <w:rPr>
          <w:bCs/>
          <w:szCs w:val="28"/>
          <w:lang w:val="de-DE"/>
        </w:rPr>
        <w:t xml:space="preserve"> </w:t>
      </w:r>
      <w:r w:rsidRPr="001B51B0">
        <w:rPr>
          <w:bCs/>
          <w:szCs w:val="28"/>
          <w:lang w:val="de-DE"/>
        </w:rPr>
        <w:t>2025.</w:t>
      </w:r>
    </w:p>
    <w:p w:rsidR="00D9333A" w:rsidRPr="001B51B0" w:rsidRDefault="00D9333A" w:rsidP="00EB4EA7">
      <w:pPr>
        <w:widowControl w:val="0"/>
        <w:tabs>
          <w:tab w:val="left" w:pos="851"/>
        </w:tabs>
        <w:spacing w:before="120" w:after="120" w:line="320" w:lineRule="exact"/>
        <w:ind w:firstLine="567"/>
        <w:jc w:val="both"/>
        <w:rPr>
          <w:bCs/>
          <w:szCs w:val="28"/>
          <w:lang w:val="de-DE"/>
        </w:rPr>
      </w:pPr>
      <w:r w:rsidRPr="00C95D70">
        <w:rPr>
          <w:bCs/>
          <w:szCs w:val="28"/>
          <w:lang w:val="de-DE"/>
        </w:rPr>
        <w:t>8.</w:t>
      </w:r>
      <w:r w:rsidRPr="001B51B0">
        <w:rPr>
          <w:bCs/>
          <w:szCs w:val="28"/>
          <w:lang w:val="de-DE"/>
        </w:rPr>
        <w:t xml:space="preserve"> </w:t>
      </w:r>
      <w:r w:rsidRPr="001B51B0">
        <w:rPr>
          <w:szCs w:val="28"/>
          <w:lang w:val="vi-VN"/>
        </w:rPr>
        <w:t>Không thực hiện việc ký hợp đồng lao động đối với</w:t>
      </w:r>
      <w:r w:rsidRPr="001B51B0">
        <w:rPr>
          <w:szCs w:val="28"/>
        </w:rPr>
        <w:t xml:space="preserve"> n</w:t>
      </w:r>
      <w:r w:rsidRPr="001B51B0">
        <w:rPr>
          <w:szCs w:val="28"/>
          <w:lang w:val="vi-VN"/>
        </w:rPr>
        <w:t xml:space="preserve">hững người làm công việc chuyên môn, nghiệp vụ ở các vị trí việc làm được xác định là công chức trong các cơ quan hành chính hoặc là viên chức trong </w:t>
      </w:r>
      <w:r w:rsidR="00C90593" w:rsidRPr="00C90593">
        <w:rPr>
          <w:szCs w:val="28"/>
          <w:lang w:val="fr-FR"/>
        </w:rPr>
        <w:t>đơn vị sự nghiệp công lập</w:t>
      </w:r>
      <w:r w:rsidR="00C90593" w:rsidRPr="001B51B0">
        <w:rPr>
          <w:szCs w:val="28"/>
          <w:lang w:val="vi-VN"/>
        </w:rPr>
        <w:t xml:space="preserve"> </w:t>
      </w:r>
      <w:r w:rsidRPr="001B51B0">
        <w:rPr>
          <w:szCs w:val="28"/>
          <w:lang w:val="vi-VN"/>
        </w:rPr>
        <w:t>do Nhà nước bảo đảm toàn bộ hoặc một phần chi thường xuyên.</w:t>
      </w:r>
      <w:r w:rsidRPr="001B51B0">
        <w:rPr>
          <w:szCs w:val="28"/>
        </w:rPr>
        <w:t xml:space="preserve"> Riêng đối với </w:t>
      </w:r>
      <w:r w:rsidR="00C90593" w:rsidRPr="00C90593">
        <w:rPr>
          <w:szCs w:val="28"/>
          <w:lang w:val="fr-FR"/>
        </w:rPr>
        <w:t>đơn vị sự nghiệp công lập</w:t>
      </w:r>
      <w:r w:rsidRPr="001B51B0">
        <w:rPr>
          <w:szCs w:val="28"/>
        </w:rPr>
        <w:t xml:space="preserve"> trong lĩnh vực giáo dục và y tế k</w:t>
      </w:r>
      <w:r w:rsidRPr="001B51B0">
        <w:rPr>
          <w:szCs w:val="28"/>
          <w:lang w:val="vi-VN"/>
        </w:rPr>
        <w:t xml:space="preserve">hông thực hiện hợp đồng lao động </w:t>
      </w:r>
      <w:r w:rsidRPr="001B51B0">
        <w:rPr>
          <w:szCs w:val="28"/>
        </w:rPr>
        <w:t xml:space="preserve">trên 12 tháng </w:t>
      </w:r>
      <w:r w:rsidRPr="001B51B0">
        <w:rPr>
          <w:szCs w:val="28"/>
          <w:lang w:val="vi-VN"/>
        </w:rPr>
        <w:t>đối với</w:t>
      </w:r>
      <w:r w:rsidRPr="001B51B0">
        <w:rPr>
          <w:szCs w:val="28"/>
        </w:rPr>
        <w:t xml:space="preserve"> n</w:t>
      </w:r>
      <w:r w:rsidRPr="001B51B0">
        <w:rPr>
          <w:szCs w:val="28"/>
          <w:lang w:val="vi-VN"/>
        </w:rPr>
        <w:t>hững người làm công việc chuyên môn, nghiệp vụ ở các vị trí việc làm được xác định</w:t>
      </w:r>
      <w:r w:rsidRPr="001B51B0">
        <w:rPr>
          <w:szCs w:val="28"/>
        </w:rPr>
        <w:t xml:space="preserve"> là viên chức hưởng lương ngân sách trong</w:t>
      </w:r>
      <w:r w:rsidRPr="001B51B0">
        <w:rPr>
          <w:szCs w:val="28"/>
          <w:lang w:val="vi-VN"/>
        </w:rPr>
        <w:t xml:space="preserve"> </w:t>
      </w:r>
      <w:r w:rsidR="00C90593" w:rsidRPr="00C90593">
        <w:rPr>
          <w:szCs w:val="28"/>
          <w:lang w:val="fr-FR"/>
        </w:rPr>
        <w:t>đơn vị sự nghiệp công lập</w:t>
      </w:r>
      <w:r w:rsidR="00C90593" w:rsidRPr="001B51B0">
        <w:rPr>
          <w:szCs w:val="28"/>
          <w:lang w:val="vi-VN"/>
        </w:rPr>
        <w:t xml:space="preserve"> </w:t>
      </w:r>
      <w:r w:rsidRPr="001B51B0">
        <w:rPr>
          <w:szCs w:val="28"/>
          <w:lang w:val="vi-VN"/>
        </w:rPr>
        <w:t>do Nhà nước bảo</w:t>
      </w:r>
      <w:r w:rsidRPr="001B51B0">
        <w:rPr>
          <w:szCs w:val="28"/>
        </w:rPr>
        <w:t xml:space="preserve"> chi thường xuyên </w:t>
      </w:r>
      <w:r w:rsidRPr="001B51B0">
        <w:rPr>
          <w:szCs w:val="28"/>
          <w:lang w:val="vi-VN"/>
        </w:rPr>
        <w:t>hoặc một phần chi thường xuyên.</w:t>
      </w:r>
    </w:p>
    <w:p w:rsidR="00D9333A" w:rsidRPr="001B51B0" w:rsidRDefault="00D9333A" w:rsidP="00EB4EA7">
      <w:pPr>
        <w:widowControl w:val="0"/>
        <w:tabs>
          <w:tab w:val="left" w:pos="851"/>
        </w:tabs>
        <w:spacing w:before="120" w:after="120" w:line="320" w:lineRule="exact"/>
        <w:ind w:firstLine="567"/>
        <w:jc w:val="both"/>
        <w:rPr>
          <w:szCs w:val="28"/>
          <w:lang w:val="fr-FR"/>
        </w:rPr>
      </w:pPr>
      <w:r w:rsidRPr="00C95D70">
        <w:rPr>
          <w:szCs w:val="28"/>
          <w:lang w:val="de-DE"/>
        </w:rPr>
        <w:t>9.</w:t>
      </w:r>
      <w:r w:rsidRPr="001B51B0">
        <w:rPr>
          <w:szCs w:val="28"/>
          <w:lang w:val="de-DE"/>
        </w:rPr>
        <w:t xml:space="preserve"> Thủ trưởng các cơ quan có </w:t>
      </w:r>
      <w:r w:rsidR="00C90593" w:rsidRPr="00C90593">
        <w:rPr>
          <w:szCs w:val="28"/>
          <w:lang w:val="fr-FR"/>
        </w:rPr>
        <w:t>đơn vị sự nghiệp công lập</w:t>
      </w:r>
      <w:r w:rsidR="00C90593" w:rsidRPr="001B51B0">
        <w:rPr>
          <w:szCs w:val="28"/>
          <w:lang w:val="de-DE"/>
        </w:rPr>
        <w:t xml:space="preserve"> </w:t>
      </w:r>
      <w:r w:rsidRPr="001B51B0">
        <w:rPr>
          <w:szCs w:val="28"/>
          <w:lang w:val="de-DE"/>
        </w:rPr>
        <w:t xml:space="preserve">xây dựng danh mục dịch vụ sự nghiệp công, kèm định mức kinh tế kỹ thuật, trình </w:t>
      </w:r>
      <w:r w:rsidR="00C90593">
        <w:rPr>
          <w:szCs w:val="28"/>
          <w:lang w:val="de-DE"/>
        </w:rPr>
        <w:t>Ủy ban nhân dân</w:t>
      </w:r>
      <w:r w:rsidRPr="001B51B0">
        <w:rPr>
          <w:szCs w:val="28"/>
          <w:lang w:val="de-DE"/>
        </w:rPr>
        <w:t xml:space="preserve"> tỉnh phê duyệt làm cơ sở giao quyền tự chủ cho </w:t>
      </w:r>
      <w:r w:rsidR="00C90593" w:rsidRPr="00C90593">
        <w:rPr>
          <w:szCs w:val="28"/>
          <w:lang w:val="fr-FR"/>
        </w:rPr>
        <w:t>đơn vị sự nghiệp công lập</w:t>
      </w:r>
      <w:r w:rsidRPr="001B51B0">
        <w:rPr>
          <w:szCs w:val="28"/>
          <w:lang w:val="de-DE"/>
        </w:rPr>
        <w:t xml:space="preserve"> thuộc quyền quản lý theo Nghị định số 16/2015/NĐ-CP ngày 14</w:t>
      </w:r>
      <w:r w:rsidR="00C90593">
        <w:rPr>
          <w:szCs w:val="28"/>
          <w:lang w:val="de-DE"/>
        </w:rPr>
        <w:t xml:space="preserve"> tháng 02 năm </w:t>
      </w:r>
      <w:r w:rsidRPr="001B51B0">
        <w:rPr>
          <w:szCs w:val="28"/>
          <w:lang w:val="de-DE"/>
        </w:rPr>
        <w:t xml:space="preserve">2015 của Chính phủ Quy định cơ chế tự chủ của </w:t>
      </w:r>
      <w:r w:rsidR="00C90593" w:rsidRPr="00C90593">
        <w:rPr>
          <w:szCs w:val="28"/>
          <w:lang w:val="fr-FR"/>
        </w:rPr>
        <w:t>đơn vị sự nghiệp công lập</w:t>
      </w:r>
      <w:r w:rsidRPr="001B51B0">
        <w:rPr>
          <w:szCs w:val="28"/>
          <w:lang w:val="de-DE"/>
        </w:rPr>
        <w:t xml:space="preserve">. </w:t>
      </w:r>
    </w:p>
    <w:p w:rsidR="00D9333A" w:rsidRPr="001B51B0" w:rsidRDefault="00D9333A" w:rsidP="00EB4EA7">
      <w:pPr>
        <w:tabs>
          <w:tab w:val="left" w:pos="851"/>
        </w:tabs>
        <w:spacing w:before="120" w:after="120" w:line="320" w:lineRule="exact"/>
        <w:ind w:firstLine="567"/>
        <w:jc w:val="both"/>
        <w:rPr>
          <w:szCs w:val="28"/>
          <w:lang w:val="de-DE"/>
        </w:rPr>
      </w:pPr>
      <w:r w:rsidRPr="001B51B0">
        <w:rPr>
          <w:szCs w:val="28"/>
          <w:lang w:val="de-DE"/>
        </w:rPr>
        <w:t>Tiếp tục đẩy mạnh thực hiện Quyết</w:t>
      </w:r>
      <w:r w:rsidR="00C90593">
        <w:rPr>
          <w:szCs w:val="28"/>
          <w:lang w:val="de-DE"/>
        </w:rPr>
        <w:t xml:space="preserve"> định số 22/2015/QĐ-TTg ngày 22 tháng 6 năm </w:t>
      </w:r>
      <w:r w:rsidRPr="001B51B0">
        <w:rPr>
          <w:szCs w:val="28"/>
          <w:lang w:val="de-DE"/>
        </w:rPr>
        <w:t>2015 của Thủ tướng Chính phủ về việc chuyển ĐVSNCL thành công ty cổ phần và Quyết</w:t>
      </w:r>
      <w:r w:rsidR="00C90593">
        <w:rPr>
          <w:szCs w:val="28"/>
          <w:lang w:val="de-DE"/>
        </w:rPr>
        <w:t xml:space="preserve"> định số 31/2017/QĐ-TTg ngày 17 tháng 7 năm </w:t>
      </w:r>
      <w:r w:rsidRPr="001B51B0">
        <w:rPr>
          <w:szCs w:val="28"/>
          <w:lang w:val="de-DE"/>
        </w:rPr>
        <w:t xml:space="preserve">2017 của Thủ tướng Chính phủ về tiêu chí, danh mục ngành, lĩnh vực thực hiện chuyển </w:t>
      </w:r>
      <w:r w:rsidR="00B129BA" w:rsidRPr="00C90593">
        <w:rPr>
          <w:szCs w:val="28"/>
          <w:lang w:val="fr-FR"/>
        </w:rPr>
        <w:t>đơn vị sự nghiệp công lập</w:t>
      </w:r>
      <w:r w:rsidR="00B129BA" w:rsidRPr="001B51B0">
        <w:rPr>
          <w:szCs w:val="28"/>
          <w:lang w:val="de-DE"/>
        </w:rPr>
        <w:t xml:space="preserve"> </w:t>
      </w:r>
      <w:r w:rsidRPr="001B51B0">
        <w:rPr>
          <w:szCs w:val="28"/>
          <w:lang w:val="de-DE"/>
        </w:rPr>
        <w:t>thành công ty cổ phần.</w:t>
      </w:r>
    </w:p>
    <w:p w:rsidR="00D9333A" w:rsidRPr="001B51B0" w:rsidRDefault="00D9333A" w:rsidP="00EB4EA7">
      <w:pPr>
        <w:widowControl w:val="0"/>
        <w:tabs>
          <w:tab w:val="left" w:pos="851"/>
        </w:tabs>
        <w:spacing w:before="120" w:after="120" w:line="320" w:lineRule="exact"/>
        <w:ind w:firstLine="567"/>
        <w:jc w:val="both"/>
        <w:rPr>
          <w:bCs/>
          <w:szCs w:val="28"/>
          <w:lang w:val="de-DE"/>
        </w:rPr>
      </w:pPr>
      <w:r w:rsidRPr="00C95D70">
        <w:rPr>
          <w:bCs/>
          <w:szCs w:val="28"/>
          <w:lang w:val="de-DE"/>
        </w:rPr>
        <w:lastRenderedPageBreak/>
        <w:t>10.</w:t>
      </w:r>
      <w:r w:rsidRPr="001B51B0">
        <w:rPr>
          <w:bCs/>
          <w:szCs w:val="28"/>
          <w:lang w:val="de-DE"/>
        </w:rPr>
        <w:t xml:space="preserve"> Tăng cường công tác thanh tra, kiểm tra, kịp thời chấn chỉnh, khắc phục các sai sót trong sử dụng biên chế, số người làm việc, trong tuyển dụng công chức, viên chức và hợp đồng lao động.</w:t>
      </w:r>
    </w:p>
    <w:p w:rsidR="00EB4EA7" w:rsidRDefault="00D9333A" w:rsidP="00EB4EA7">
      <w:pPr>
        <w:keepNext/>
        <w:widowControl w:val="0"/>
        <w:tabs>
          <w:tab w:val="left" w:pos="900"/>
        </w:tabs>
        <w:spacing w:before="120" w:after="120" w:line="320" w:lineRule="exact"/>
        <w:ind w:firstLine="567"/>
        <w:jc w:val="both"/>
        <w:rPr>
          <w:szCs w:val="28"/>
          <w:lang w:val="es-ES"/>
        </w:rPr>
      </w:pPr>
      <w:r w:rsidRPr="001B51B0">
        <w:rPr>
          <w:b/>
          <w:szCs w:val="28"/>
          <w:lang w:val="es-ES"/>
        </w:rPr>
        <w:t>Điều 3.</w:t>
      </w:r>
      <w:r w:rsidR="00EB4EA7">
        <w:rPr>
          <w:b/>
          <w:szCs w:val="28"/>
          <w:lang w:val="es-ES"/>
        </w:rPr>
        <w:t xml:space="preserve"> </w:t>
      </w:r>
      <w:r w:rsidR="00EB4EA7" w:rsidRPr="00EB4EA7">
        <w:rPr>
          <w:szCs w:val="28"/>
          <w:lang w:val="es-ES"/>
        </w:rPr>
        <w:t>Tổ chức thực hiên</w:t>
      </w:r>
    </w:p>
    <w:p w:rsidR="00D9333A" w:rsidRPr="001B51B0" w:rsidRDefault="00EB4EA7" w:rsidP="00EB4EA7">
      <w:pPr>
        <w:keepNext/>
        <w:widowControl w:val="0"/>
        <w:tabs>
          <w:tab w:val="left" w:pos="900"/>
        </w:tabs>
        <w:spacing w:before="120" w:after="120" w:line="320" w:lineRule="exact"/>
        <w:ind w:firstLine="567"/>
        <w:jc w:val="both"/>
        <w:rPr>
          <w:szCs w:val="28"/>
          <w:lang w:val="es-ES"/>
        </w:rPr>
      </w:pPr>
      <w:r>
        <w:rPr>
          <w:szCs w:val="28"/>
          <w:lang w:val="es-ES"/>
        </w:rPr>
        <w:t xml:space="preserve">1. </w:t>
      </w:r>
      <w:r w:rsidR="00D9333A" w:rsidRPr="001B51B0">
        <w:rPr>
          <w:szCs w:val="28"/>
          <w:lang w:val="es-ES"/>
        </w:rPr>
        <w:t>Giao Ủy ban nhân dân tỉ</w:t>
      </w:r>
      <w:r>
        <w:rPr>
          <w:szCs w:val="28"/>
          <w:lang w:val="es-ES"/>
        </w:rPr>
        <w:t>nh tổ chức thực hiện Nghị quyết.</w:t>
      </w:r>
    </w:p>
    <w:p w:rsidR="00D9333A" w:rsidRPr="001B51B0" w:rsidRDefault="00EB4EA7" w:rsidP="00EB4EA7">
      <w:pPr>
        <w:pStyle w:val="NormalWeb"/>
        <w:keepNext/>
        <w:widowControl w:val="0"/>
        <w:tabs>
          <w:tab w:val="left" w:pos="900"/>
        </w:tabs>
        <w:spacing w:before="120" w:beforeAutospacing="0" w:after="120" w:afterAutospacing="0" w:line="320" w:lineRule="exact"/>
        <w:ind w:firstLine="567"/>
        <w:jc w:val="both"/>
        <w:rPr>
          <w:sz w:val="28"/>
          <w:szCs w:val="28"/>
          <w:lang w:val="es-ES"/>
        </w:rPr>
      </w:pPr>
      <w:r>
        <w:rPr>
          <w:sz w:val="28"/>
          <w:szCs w:val="28"/>
          <w:lang w:val="es-ES"/>
        </w:rPr>
        <w:t xml:space="preserve">2. </w:t>
      </w:r>
      <w:r w:rsidR="00D9333A" w:rsidRPr="001B51B0">
        <w:rPr>
          <w:sz w:val="28"/>
          <w:szCs w:val="28"/>
          <w:lang w:val="es-ES"/>
        </w:rPr>
        <w:t xml:space="preserve">Giao Thường trực Hội đồng nhân dân, các ban của Hội đồng nhân dân, các tổ đại biểu Hội đồng nhân dân, đại biểu Hội đồng nhân dân tỉnh phối hợp Ủy ban Mặt trận Tổ quốc tỉnh và các tổ chức chính trị - xã hội giám sát thực hiện Nghị quyết. </w:t>
      </w:r>
    </w:p>
    <w:p w:rsidR="00D9333A" w:rsidRDefault="00D9333A" w:rsidP="00EB4EA7">
      <w:pPr>
        <w:pStyle w:val="NormalWeb"/>
        <w:keepNext/>
        <w:widowControl w:val="0"/>
        <w:tabs>
          <w:tab w:val="left" w:pos="900"/>
        </w:tabs>
        <w:spacing w:before="120" w:beforeAutospacing="0" w:after="120" w:afterAutospacing="0" w:line="320" w:lineRule="exact"/>
        <w:ind w:firstLine="567"/>
        <w:jc w:val="both"/>
        <w:rPr>
          <w:sz w:val="28"/>
          <w:szCs w:val="28"/>
          <w:lang w:val="es-ES"/>
        </w:rPr>
      </w:pPr>
      <w:r w:rsidRPr="001B51B0">
        <w:rPr>
          <w:sz w:val="28"/>
          <w:szCs w:val="28"/>
          <w:lang w:val="es-ES"/>
        </w:rPr>
        <w:t xml:space="preserve"> Nghị quyết này đã được Hội đồng nhân dân tỉnh Quảng Trị Khóa VII, Kỳ họp thứ 19</w:t>
      </w:r>
      <w:r w:rsidR="001B51B0">
        <w:rPr>
          <w:sz w:val="28"/>
          <w:szCs w:val="28"/>
          <w:lang w:val="es-ES"/>
        </w:rPr>
        <w:t xml:space="preserve"> thông qua ngày 09 tháng 12 </w:t>
      </w:r>
      <w:r w:rsidRPr="001B51B0">
        <w:rPr>
          <w:sz w:val="28"/>
          <w:szCs w:val="28"/>
          <w:lang w:val="es-ES"/>
        </w:rPr>
        <w:t>năm 2020 và có hiệu lực từ ngày 01 tháng 01 năm 2021./.</w:t>
      </w:r>
    </w:p>
    <w:p w:rsidR="00D9333A" w:rsidRPr="001B51B0" w:rsidRDefault="00D9333A" w:rsidP="00EB4EA7">
      <w:pPr>
        <w:pStyle w:val="NormalWeb"/>
        <w:tabs>
          <w:tab w:val="left" w:pos="900"/>
        </w:tabs>
        <w:spacing w:before="60" w:beforeAutospacing="0" w:after="0" w:afterAutospacing="0" w:line="340" w:lineRule="exact"/>
        <w:jc w:val="both"/>
        <w:rPr>
          <w:sz w:val="28"/>
          <w:szCs w:val="28"/>
          <w:lang w:val="es-ES"/>
        </w:rPr>
      </w:pPr>
    </w:p>
    <w:tbl>
      <w:tblPr>
        <w:tblW w:w="9464" w:type="dxa"/>
        <w:tblCellMar>
          <w:left w:w="0" w:type="dxa"/>
          <w:right w:w="0" w:type="dxa"/>
        </w:tblCellMar>
        <w:tblLook w:val="0000"/>
      </w:tblPr>
      <w:tblGrid>
        <w:gridCol w:w="5637"/>
        <w:gridCol w:w="3827"/>
      </w:tblGrid>
      <w:tr w:rsidR="00D9333A" w:rsidRPr="001B51B0" w:rsidTr="00EB4EA7">
        <w:trPr>
          <w:trHeight w:val="3289"/>
        </w:trPr>
        <w:tc>
          <w:tcPr>
            <w:tcW w:w="5637" w:type="dxa"/>
            <w:tcMar>
              <w:top w:w="0" w:type="dxa"/>
              <w:left w:w="108" w:type="dxa"/>
              <w:bottom w:w="0" w:type="dxa"/>
              <w:right w:w="108" w:type="dxa"/>
            </w:tcMar>
          </w:tcPr>
          <w:p w:rsidR="00D9333A" w:rsidRPr="00A87806" w:rsidRDefault="00D9333A" w:rsidP="00136845">
            <w:pPr>
              <w:spacing w:after="120"/>
              <w:rPr>
                <w:b/>
                <w:bCs/>
                <w:i/>
                <w:iCs/>
                <w:sz w:val="24"/>
                <w:lang w:val="es-ES"/>
              </w:rPr>
            </w:pPr>
            <w:r w:rsidRPr="00A87806">
              <w:rPr>
                <w:b/>
                <w:bCs/>
                <w:i/>
                <w:iCs/>
                <w:sz w:val="24"/>
                <w:lang w:val="es-ES"/>
              </w:rPr>
              <w:t> Nơi nhận:</w:t>
            </w:r>
          </w:p>
          <w:p w:rsidR="00136845" w:rsidRPr="00713773" w:rsidRDefault="00136845" w:rsidP="00136845">
            <w:pPr>
              <w:rPr>
                <w:bCs/>
                <w:sz w:val="22"/>
                <w:szCs w:val="22"/>
                <w:lang w:val="de-DE"/>
              </w:rPr>
            </w:pPr>
            <w:r w:rsidRPr="00713773">
              <w:rPr>
                <w:bCs/>
                <w:sz w:val="22"/>
                <w:szCs w:val="22"/>
                <w:lang w:val="de-DE"/>
              </w:rPr>
              <w:t>- Ủy ban Thường vụ Quốc hội;</w:t>
            </w:r>
          </w:p>
          <w:p w:rsidR="00136845" w:rsidRDefault="00136845" w:rsidP="00DF2B88">
            <w:pPr>
              <w:rPr>
                <w:sz w:val="22"/>
                <w:szCs w:val="22"/>
                <w:lang w:val="es-ES"/>
              </w:rPr>
            </w:pPr>
            <w:r w:rsidRPr="001B51B0">
              <w:rPr>
                <w:sz w:val="22"/>
                <w:szCs w:val="22"/>
                <w:lang w:val="es-ES"/>
              </w:rPr>
              <w:t>- Bộ Nội vụ, Bộ Tài chính;</w:t>
            </w:r>
          </w:p>
          <w:p w:rsidR="00D9333A" w:rsidRPr="001B51B0" w:rsidRDefault="00D9333A" w:rsidP="00DF2B88">
            <w:pPr>
              <w:rPr>
                <w:sz w:val="22"/>
                <w:szCs w:val="22"/>
                <w:lang w:val="es-ES"/>
              </w:rPr>
            </w:pPr>
            <w:r w:rsidRPr="001B51B0">
              <w:rPr>
                <w:sz w:val="22"/>
                <w:szCs w:val="22"/>
                <w:lang w:val="es-ES"/>
              </w:rPr>
              <w:t>- TVTU, TTHĐND, UBND, UBMTTQ tỉnh;</w:t>
            </w:r>
          </w:p>
          <w:p w:rsidR="00D9333A" w:rsidRPr="001B51B0" w:rsidRDefault="00D9333A" w:rsidP="00DF2B88">
            <w:pPr>
              <w:rPr>
                <w:sz w:val="22"/>
                <w:szCs w:val="22"/>
                <w:lang w:val="es-ES"/>
              </w:rPr>
            </w:pPr>
            <w:r w:rsidRPr="001B51B0">
              <w:rPr>
                <w:sz w:val="22"/>
                <w:szCs w:val="22"/>
                <w:lang w:val="es-ES"/>
              </w:rPr>
              <w:t xml:space="preserve">- Đoàn ĐBQH, TAND, VKSND tỉnh; </w:t>
            </w:r>
          </w:p>
          <w:p w:rsidR="00D9333A" w:rsidRPr="001B51B0" w:rsidRDefault="00D9333A" w:rsidP="00DF2B88">
            <w:pPr>
              <w:rPr>
                <w:sz w:val="22"/>
                <w:szCs w:val="22"/>
                <w:lang w:val="es-ES"/>
              </w:rPr>
            </w:pPr>
            <w:r w:rsidRPr="001B51B0">
              <w:rPr>
                <w:sz w:val="22"/>
                <w:szCs w:val="22"/>
                <w:lang w:val="es-ES"/>
              </w:rPr>
              <w:t>- VPTU, VPHĐND, VPUBND tỉnh;</w:t>
            </w:r>
          </w:p>
          <w:p w:rsidR="00D9333A" w:rsidRPr="001B51B0" w:rsidRDefault="00D9333A" w:rsidP="00DF2B88">
            <w:pPr>
              <w:rPr>
                <w:sz w:val="22"/>
                <w:szCs w:val="22"/>
                <w:lang w:val="es-ES"/>
              </w:rPr>
            </w:pPr>
            <w:r w:rsidRPr="001B51B0">
              <w:rPr>
                <w:sz w:val="22"/>
                <w:szCs w:val="22"/>
                <w:lang w:val="es-ES"/>
              </w:rPr>
              <w:t>- Sở, ban, ngành cấp tỉnh;</w:t>
            </w:r>
          </w:p>
          <w:p w:rsidR="00D9333A" w:rsidRPr="001B51B0" w:rsidRDefault="00D9333A" w:rsidP="00DF2B88">
            <w:pPr>
              <w:rPr>
                <w:sz w:val="22"/>
                <w:szCs w:val="22"/>
                <w:lang w:val="es-ES"/>
              </w:rPr>
            </w:pPr>
            <w:r w:rsidRPr="001B51B0">
              <w:rPr>
                <w:sz w:val="22"/>
                <w:szCs w:val="22"/>
                <w:lang w:val="es-ES"/>
              </w:rPr>
              <w:t>- TTHĐND, UBND, UBMTTQ cấp huyện;</w:t>
            </w:r>
          </w:p>
          <w:p w:rsidR="00D9333A" w:rsidRPr="001B51B0" w:rsidRDefault="00D9333A" w:rsidP="00DF2B88">
            <w:pPr>
              <w:rPr>
                <w:sz w:val="22"/>
                <w:szCs w:val="22"/>
                <w:lang w:val="es-ES"/>
              </w:rPr>
            </w:pPr>
            <w:r w:rsidRPr="001B51B0">
              <w:rPr>
                <w:sz w:val="22"/>
                <w:szCs w:val="22"/>
                <w:lang w:val="es-ES"/>
              </w:rPr>
              <w:t>- Đại biểu HĐND tỉnh;</w:t>
            </w:r>
          </w:p>
          <w:p w:rsidR="00D9333A" w:rsidRDefault="00D9333A" w:rsidP="00DF2B88">
            <w:pPr>
              <w:rPr>
                <w:sz w:val="22"/>
                <w:szCs w:val="22"/>
                <w:lang w:val="es-ES"/>
              </w:rPr>
            </w:pPr>
            <w:r w:rsidRPr="001B51B0">
              <w:rPr>
                <w:sz w:val="22"/>
                <w:szCs w:val="22"/>
                <w:lang w:val="es-ES"/>
              </w:rPr>
              <w:t>- Đài PT - TH tỉnh, Báo Quảng Trị;</w:t>
            </w:r>
          </w:p>
          <w:p w:rsidR="00136845" w:rsidRPr="00136845" w:rsidRDefault="00136845" w:rsidP="00136845">
            <w:pPr>
              <w:jc w:val="both"/>
              <w:rPr>
                <w:sz w:val="22"/>
                <w:szCs w:val="22"/>
              </w:rPr>
            </w:pPr>
            <w:r>
              <w:rPr>
                <w:sz w:val="22"/>
                <w:szCs w:val="22"/>
              </w:rPr>
              <w:t>- Công báo tỉnh;</w:t>
            </w:r>
          </w:p>
          <w:p w:rsidR="001B51B0" w:rsidRPr="001B51B0" w:rsidRDefault="00D9333A" w:rsidP="001B51B0">
            <w:pPr>
              <w:rPr>
                <w:bCs/>
                <w:sz w:val="22"/>
                <w:szCs w:val="22"/>
                <w:lang w:val="es-ES" w:eastAsia="zh-CN"/>
              </w:rPr>
            </w:pPr>
            <w:r w:rsidRPr="001B51B0">
              <w:rPr>
                <w:bCs/>
                <w:sz w:val="22"/>
                <w:szCs w:val="22"/>
                <w:lang w:val="es-ES" w:eastAsia="zh-CN"/>
              </w:rPr>
              <w:t>- Lưu: VT, HĐND-PC.</w:t>
            </w:r>
          </w:p>
        </w:tc>
        <w:tc>
          <w:tcPr>
            <w:tcW w:w="3827" w:type="dxa"/>
            <w:tcMar>
              <w:top w:w="0" w:type="dxa"/>
              <w:left w:w="108" w:type="dxa"/>
              <w:bottom w:w="0" w:type="dxa"/>
              <w:right w:w="108" w:type="dxa"/>
            </w:tcMar>
          </w:tcPr>
          <w:p w:rsidR="00D9333A" w:rsidRPr="001B51B0" w:rsidRDefault="00D9333A" w:rsidP="00DF2B88">
            <w:pPr>
              <w:spacing w:before="120" w:after="240"/>
              <w:jc w:val="center"/>
              <w:rPr>
                <w:b/>
                <w:bCs/>
                <w:sz w:val="27"/>
                <w:szCs w:val="27"/>
                <w:lang w:val="es-ES"/>
              </w:rPr>
            </w:pPr>
            <w:r w:rsidRPr="001B51B0">
              <w:rPr>
                <w:b/>
                <w:bCs/>
                <w:sz w:val="27"/>
                <w:szCs w:val="27"/>
                <w:lang w:val="es-ES"/>
              </w:rPr>
              <w:t>CHỦ TỊCH</w:t>
            </w:r>
          </w:p>
          <w:p w:rsidR="00D9333A" w:rsidRPr="001B51B0" w:rsidRDefault="00D9333A" w:rsidP="00DF2B88">
            <w:pPr>
              <w:spacing w:before="120" w:after="240"/>
              <w:rPr>
                <w:b/>
                <w:bCs/>
                <w:sz w:val="26"/>
                <w:szCs w:val="26"/>
                <w:lang w:val="es-ES"/>
              </w:rPr>
            </w:pPr>
          </w:p>
          <w:p w:rsidR="00D9333A" w:rsidRPr="001B51B0" w:rsidRDefault="00D9333A" w:rsidP="00DF2B88">
            <w:pPr>
              <w:spacing w:before="120" w:after="240"/>
              <w:rPr>
                <w:b/>
                <w:bCs/>
                <w:sz w:val="26"/>
                <w:szCs w:val="26"/>
                <w:lang w:val="es-ES"/>
              </w:rPr>
            </w:pPr>
          </w:p>
          <w:p w:rsidR="00D9333A" w:rsidRPr="001B51B0" w:rsidRDefault="00D9333A" w:rsidP="00DF2B88">
            <w:pPr>
              <w:spacing w:before="120" w:after="240"/>
              <w:rPr>
                <w:b/>
                <w:bCs/>
                <w:sz w:val="26"/>
                <w:szCs w:val="26"/>
                <w:lang w:val="es-ES"/>
              </w:rPr>
            </w:pPr>
          </w:p>
          <w:p w:rsidR="00D9333A" w:rsidRPr="001B51B0" w:rsidRDefault="00D9333A" w:rsidP="00DF2B88">
            <w:pPr>
              <w:spacing w:before="480" w:after="240"/>
              <w:jc w:val="center"/>
              <w:rPr>
                <w:lang w:val="es-ES"/>
              </w:rPr>
            </w:pPr>
            <w:r w:rsidRPr="001B51B0">
              <w:rPr>
                <w:b/>
                <w:bCs/>
                <w:szCs w:val="28"/>
                <w:lang w:val="es-ES"/>
              </w:rPr>
              <w:t>Nguyễn Đăng Quang</w:t>
            </w:r>
          </w:p>
        </w:tc>
      </w:tr>
    </w:tbl>
    <w:p w:rsidR="00D9333A" w:rsidRPr="001B51B0" w:rsidRDefault="00D9333A" w:rsidP="00D9333A">
      <w:pPr>
        <w:rPr>
          <w:lang w:val="es-ES"/>
        </w:rPr>
      </w:pPr>
    </w:p>
    <w:p w:rsidR="0032316D" w:rsidRPr="001B51B0" w:rsidRDefault="0032316D" w:rsidP="00D9333A"/>
    <w:sectPr w:rsidR="0032316D" w:rsidRPr="001B51B0" w:rsidSect="001B51B0">
      <w:headerReference w:type="default" r:id="rId7"/>
      <w:footerReference w:type="even" r:id="rId8"/>
      <w:headerReference w:type="first" r:id="rId9"/>
      <w:footerReference w:type="first" r:id="rId10"/>
      <w:pgSz w:w="11907" w:h="16840" w:code="9"/>
      <w:pgMar w:top="1134" w:right="1134" w:bottom="85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841" w:rsidRDefault="00DB6841" w:rsidP="00B406F9">
      <w:r>
        <w:separator/>
      </w:r>
    </w:p>
  </w:endnote>
  <w:endnote w:type="continuationSeparator" w:id="1">
    <w:p w:rsidR="00DB6841" w:rsidRDefault="00DB6841" w:rsidP="00B40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AE" w:rsidRDefault="003A3B7A" w:rsidP="00F33EAE">
    <w:pPr>
      <w:pStyle w:val="Footer"/>
      <w:framePr w:wrap="around" w:vAnchor="text" w:hAnchor="margin" w:xAlign="center" w:y="1"/>
      <w:rPr>
        <w:rStyle w:val="PageNumber"/>
      </w:rPr>
    </w:pPr>
    <w:r>
      <w:rPr>
        <w:rStyle w:val="PageNumber"/>
      </w:rPr>
      <w:fldChar w:fldCharType="begin"/>
    </w:r>
    <w:r w:rsidR="005823B9">
      <w:rPr>
        <w:rStyle w:val="PageNumber"/>
      </w:rPr>
      <w:instrText xml:space="preserve">PAGE  </w:instrText>
    </w:r>
    <w:r>
      <w:rPr>
        <w:rStyle w:val="PageNumber"/>
      </w:rPr>
      <w:fldChar w:fldCharType="end"/>
    </w:r>
  </w:p>
  <w:p w:rsidR="00F33EAE" w:rsidRDefault="00DB68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AE" w:rsidRDefault="00DB6841">
    <w:pPr>
      <w:pStyle w:val="Footer"/>
      <w:jc w:val="right"/>
    </w:pPr>
  </w:p>
  <w:p w:rsidR="00F33EAE" w:rsidRDefault="00DB68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841" w:rsidRDefault="00DB6841" w:rsidP="00B406F9">
      <w:r>
        <w:separator/>
      </w:r>
    </w:p>
  </w:footnote>
  <w:footnote w:type="continuationSeparator" w:id="1">
    <w:p w:rsidR="00DB6841" w:rsidRDefault="00DB6841" w:rsidP="00B406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3441"/>
      <w:docPartObj>
        <w:docPartGallery w:val="Page Numbers (Top of Page)"/>
        <w:docPartUnique/>
      </w:docPartObj>
    </w:sdtPr>
    <w:sdtContent>
      <w:p w:rsidR="00B406F9" w:rsidRDefault="003A3B7A">
        <w:pPr>
          <w:pStyle w:val="Header"/>
          <w:jc w:val="center"/>
        </w:pPr>
        <w:fldSimple w:instr=" PAGE   \* MERGEFORMAT ">
          <w:r w:rsidR="006819B9">
            <w:rPr>
              <w:noProof/>
            </w:rPr>
            <w:t>4</w:t>
          </w:r>
        </w:fldSimple>
      </w:p>
    </w:sdtContent>
  </w:sdt>
  <w:p w:rsidR="00B406F9" w:rsidRDefault="00B406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379715"/>
      <w:docPartObj>
        <w:docPartGallery w:val="Page Numbers (Top of Page)"/>
        <w:docPartUnique/>
      </w:docPartObj>
    </w:sdtPr>
    <w:sdtEndPr>
      <w:rPr>
        <w:noProof/>
      </w:rPr>
    </w:sdtEndPr>
    <w:sdtContent>
      <w:p w:rsidR="00F33EAE" w:rsidRDefault="003A3B7A">
        <w:pPr>
          <w:pStyle w:val="Header"/>
          <w:jc w:val="center"/>
        </w:pPr>
      </w:p>
    </w:sdtContent>
  </w:sdt>
  <w:p w:rsidR="00F33EAE" w:rsidRDefault="00DB68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C3A82"/>
    <w:multiLevelType w:val="hybridMultilevel"/>
    <w:tmpl w:val="B09854EC"/>
    <w:lvl w:ilvl="0" w:tplc="5FF2620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06F9"/>
    <w:rsid w:val="00103729"/>
    <w:rsid w:val="00136845"/>
    <w:rsid w:val="001B51B0"/>
    <w:rsid w:val="0032316D"/>
    <w:rsid w:val="003A3B7A"/>
    <w:rsid w:val="003A4B98"/>
    <w:rsid w:val="004D6439"/>
    <w:rsid w:val="005823B9"/>
    <w:rsid w:val="00613D93"/>
    <w:rsid w:val="006819B9"/>
    <w:rsid w:val="00686FF4"/>
    <w:rsid w:val="008257FE"/>
    <w:rsid w:val="00827E2D"/>
    <w:rsid w:val="008C6A05"/>
    <w:rsid w:val="008F3F2F"/>
    <w:rsid w:val="00916FCA"/>
    <w:rsid w:val="009251E7"/>
    <w:rsid w:val="00A87806"/>
    <w:rsid w:val="00AF1EDA"/>
    <w:rsid w:val="00B129BA"/>
    <w:rsid w:val="00B406F9"/>
    <w:rsid w:val="00B618BB"/>
    <w:rsid w:val="00C64C8B"/>
    <w:rsid w:val="00C90593"/>
    <w:rsid w:val="00C95D70"/>
    <w:rsid w:val="00D9333A"/>
    <w:rsid w:val="00DB6841"/>
    <w:rsid w:val="00EB4EA7"/>
    <w:rsid w:val="00FE6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1D2129"/>
        <w:sz w:val="28"/>
        <w:szCs w:val="28"/>
        <w:lang w:val="en-US" w:eastAsia="en-US" w:bidi="ar-SA"/>
      </w:rPr>
    </w:rPrDefault>
    <w:pPrDefault>
      <w:pPr>
        <w:spacing w:line="32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6F9"/>
    <w:pPr>
      <w:spacing w:line="240" w:lineRule="auto"/>
      <w:ind w:firstLine="0"/>
      <w:jc w:val="left"/>
    </w:pPr>
    <w:rPr>
      <w:rFonts w:eastAsia="Times New Roman"/>
      <w:color w:val="auto"/>
      <w:szCs w:val="24"/>
    </w:rPr>
  </w:style>
  <w:style w:type="paragraph" w:styleId="Heading1">
    <w:name w:val="heading 1"/>
    <w:basedOn w:val="Normal"/>
    <w:next w:val="Normal"/>
    <w:link w:val="Heading1Char"/>
    <w:qFormat/>
    <w:rsid w:val="00B406F9"/>
    <w:pPr>
      <w:keepNext/>
      <w:tabs>
        <w:tab w:val="left" w:pos="720"/>
      </w:tabs>
      <w:jc w:val="center"/>
      <w:outlineLvl w:val="0"/>
    </w:pPr>
    <w:rPr>
      <w:rFonts w:eastAsia="Calibri"/>
      <w:i/>
      <w:iCs/>
      <w:sz w:val="26"/>
      <w:szCs w:val="26"/>
    </w:rPr>
  </w:style>
  <w:style w:type="paragraph" w:styleId="Heading4">
    <w:name w:val="heading 4"/>
    <w:basedOn w:val="Normal"/>
    <w:next w:val="Normal"/>
    <w:link w:val="Heading4Char"/>
    <w:qFormat/>
    <w:rsid w:val="00B406F9"/>
    <w:pPr>
      <w:keepNext/>
      <w:jc w:val="center"/>
      <w:outlineLvl w:val="3"/>
    </w:pPr>
    <w:rPr>
      <w:rFonts w:eastAsia="Calibr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6F9"/>
    <w:rPr>
      <w:rFonts w:eastAsia="Calibri"/>
      <w:i/>
      <w:iCs/>
      <w:color w:val="auto"/>
      <w:sz w:val="26"/>
      <w:szCs w:val="26"/>
    </w:rPr>
  </w:style>
  <w:style w:type="character" w:customStyle="1" w:styleId="Heading4Char">
    <w:name w:val="Heading 4 Char"/>
    <w:basedOn w:val="DefaultParagraphFont"/>
    <w:link w:val="Heading4"/>
    <w:rsid w:val="00B406F9"/>
    <w:rPr>
      <w:rFonts w:eastAsia="Calibri"/>
      <w:b/>
      <w:bCs/>
      <w:color w:val="auto"/>
      <w:szCs w:val="26"/>
    </w:rPr>
  </w:style>
  <w:style w:type="paragraph" w:styleId="BodyText">
    <w:name w:val="Body Text"/>
    <w:aliases w:val="Body Text Char Char Char Char,Body Text Char Char Char"/>
    <w:basedOn w:val="Normal"/>
    <w:link w:val="BodyTextChar"/>
    <w:rsid w:val="00B406F9"/>
    <w:pPr>
      <w:jc w:val="both"/>
    </w:pPr>
    <w:rPr>
      <w:rFonts w:eastAsia="Calibri"/>
    </w:rPr>
  </w:style>
  <w:style w:type="character" w:customStyle="1" w:styleId="BodyTextChar">
    <w:name w:val="Body Text Char"/>
    <w:aliases w:val="Body Text Char Char Char Char Char,Body Text Char Char Char Char1"/>
    <w:basedOn w:val="DefaultParagraphFont"/>
    <w:link w:val="BodyText"/>
    <w:rsid w:val="00B406F9"/>
    <w:rPr>
      <w:rFonts w:eastAsia="Calibri"/>
      <w:color w:val="auto"/>
      <w:szCs w:val="24"/>
    </w:rPr>
  </w:style>
  <w:style w:type="paragraph" w:styleId="Footer">
    <w:name w:val="footer"/>
    <w:basedOn w:val="Normal"/>
    <w:link w:val="FooterChar"/>
    <w:uiPriority w:val="99"/>
    <w:rsid w:val="00B406F9"/>
    <w:pPr>
      <w:tabs>
        <w:tab w:val="center" w:pos="4320"/>
        <w:tab w:val="right" w:pos="8640"/>
      </w:tabs>
    </w:pPr>
    <w:rPr>
      <w:rFonts w:eastAsia="Calibri"/>
    </w:rPr>
  </w:style>
  <w:style w:type="character" w:customStyle="1" w:styleId="FooterChar">
    <w:name w:val="Footer Char"/>
    <w:basedOn w:val="DefaultParagraphFont"/>
    <w:link w:val="Footer"/>
    <w:uiPriority w:val="99"/>
    <w:rsid w:val="00B406F9"/>
    <w:rPr>
      <w:rFonts w:eastAsia="Calibri"/>
      <w:color w:val="auto"/>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rsid w:val="00B406F9"/>
    <w:rPr>
      <w:rFonts w:eastAsia="Calibr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B406F9"/>
    <w:rPr>
      <w:rFonts w:eastAsia="Calibri"/>
      <w:color w:val="auto"/>
      <w:sz w:val="20"/>
      <w:szCs w:val="20"/>
    </w:rPr>
  </w:style>
  <w:style w:type="character" w:styleId="FootnoteReference">
    <w:name w:val="footnote reference"/>
    <w:aliases w:val="Footnote text,Footnote,ftref,BearingPoint,16 Point,Superscript 6 Point,fr,Footnote Text1,f,(NECG) Footnote Reference,BVI fnr,footnote ref,Footnote Text Char Char Char Char Char Char Ch Char Char Char Char Char Char C,Ref, BVI fnr,10 p"/>
    <w:basedOn w:val="DefaultParagraphFont"/>
    <w:rsid w:val="00B406F9"/>
    <w:rPr>
      <w:vertAlign w:val="superscript"/>
    </w:rPr>
  </w:style>
  <w:style w:type="character" w:customStyle="1" w:styleId="dieuCharChar">
    <w:name w:val="dieu Char Char"/>
    <w:rsid w:val="00B406F9"/>
    <w:rPr>
      <w:b/>
      <w:color w:val="0000FF"/>
      <w:sz w:val="24"/>
      <w:lang w:val="en-US" w:eastAsia="en-US"/>
    </w:rPr>
  </w:style>
  <w:style w:type="character" w:styleId="PageNumber">
    <w:name w:val="page number"/>
    <w:basedOn w:val="DefaultParagraphFont"/>
    <w:rsid w:val="00B406F9"/>
    <w:rPr>
      <w:rFonts w:cs="Times New Roman"/>
    </w:rPr>
  </w:style>
  <w:style w:type="paragraph" w:styleId="Header">
    <w:name w:val="header"/>
    <w:basedOn w:val="Normal"/>
    <w:link w:val="HeaderChar"/>
    <w:uiPriority w:val="99"/>
    <w:unhideWhenUsed/>
    <w:rsid w:val="00B406F9"/>
    <w:pPr>
      <w:tabs>
        <w:tab w:val="center" w:pos="4680"/>
        <w:tab w:val="right" w:pos="9360"/>
      </w:tabs>
    </w:pPr>
  </w:style>
  <w:style w:type="character" w:customStyle="1" w:styleId="HeaderChar">
    <w:name w:val="Header Char"/>
    <w:basedOn w:val="DefaultParagraphFont"/>
    <w:link w:val="Header"/>
    <w:uiPriority w:val="99"/>
    <w:rsid w:val="00B406F9"/>
    <w:rPr>
      <w:rFonts w:eastAsia="Times New Roman"/>
      <w:color w:val="auto"/>
      <w:szCs w:val="24"/>
    </w:rPr>
  </w:style>
  <w:style w:type="paragraph" w:styleId="ListParagraph">
    <w:name w:val="List Paragraph"/>
    <w:basedOn w:val="Normal"/>
    <w:uiPriority w:val="34"/>
    <w:qFormat/>
    <w:rsid w:val="00B406F9"/>
    <w:pPr>
      <w:spacing w:line="340" w:lineRule="atLeast"/>
      <w:ind w:left="720"/>
      <w:contextualSpacing/>
      <w:jc w:val="both"/>
    </w:pPr>
    <w:rPr>
      <w:rFonts w:eastAsia="Calibri"/>
      <w:szCs w:val="22"/>
    </w:rPr>
  </w:style>
  <w:style w:type="paragraph" w:styleId="NormalWeb">
    <w:name w:val="Normal (Web)"/>
    <w:basedOn w:val="Normal"/>
    <w:rsid w:val="00D9333A"/>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ivs>
    <w:div w:id="153893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12</cp:revision>
  <dcterms:created xsi:type="dcterms:W3CDTF">2020-12-04T09:06:00Z</dcterms:created>
  <dcterms:modified xsi:type="dcterms:W3CDTF">2020-12-05T04:01:00Z</dcterms:modified>
</cp:coreProperties>
</file>